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7DA3C" w14:textId="6611751F" w:rsidR="002F7593" w:rsidRPr="00D15CB5" w:rsidRDefault="007E19F1" w:rsidP="007257EE">
      <w:pPr>
        <w:widowControl w:val="0"/>
        <w:autoSpaceDE w:val="0"/>
        <w:autoSpaceDN w:val="0"/>
        <w:adjustRightInd w:val="0"/>
        <w:spacing w:after="240"/>
        <w:rPr>
          <w:rFonts w:ascii="Arial" w:hAnsi="Arial" w:cs="Arial"/>
          <w:sz w:val="22"/>
          <w:szCs w:val="22"/>
        </w:rPr>
      </w:pPr>
      <w:bookmarkStart w:id="0" w:name="_GoBack"/>
      <w:bookmarkEnd w:id="0"/>
      <w:r>
        <w:rPr>
          <w:rFonts w:ascii="Arial" w:hAnsi="Arial" w:cs="Arial"/>
          <w:b/>
          <w:bCs/>
          <w:sz w:val="22"/>
          <w:szCs w:val="22"/>
        </w:rPr>
        <w:t>Cells of the Innate Immune System</w:t>
      </w:r>
      <w:r w:rsidR="00562895" w:rsidRPr="00D15CB5">
        <w:rPr>
          <w:rFonts w:ascii="Arial" w:hAnsi="Arial" w:cs="Arial"/>
          <w:b/>
          <w:bCs/>
          <w:sz w:val="22"/>
          <w:szCs w:val="22"/>
        </w:rPr>
        <w:t xml:space="preserve"> </w:t>
      </w:r>
      <w:r w:rsidR="00562895" w:rsidRPr="00D15CB5">
        <w:rPr>
          <w:rFonts w:ascii="Arial" w:hAnsi="Arial" w:cs="Arial"/>
          <w:sz w:val="22"/>
          <w:szCs w:val="22"/>
        </w:rPr>
        <w:t>(1</w:t>
      </w:r>
      <w:r w:rsidR="007257EE" w:rsidRPr="00D15CB5">
        <w:rPr>
          <w:rFonts w:ascii="Arial" w:hAnsi="Arial" w:cs="Arial"/>
          <w:sz w:val="22"/>
          <w:szCs w:val="22"/>
        </w:rPr>
        <w:t xml:space="preserve"> c</w:t>
      </w:r>
      <w:r w:rsidR="00562895" w:rsidRPr="00D15CB5">
        <w:rPr>
          <w:rFonts w:ascii="Arial" w:hAnsi="Arial" w:cs="Arial"/>
          <w:sz w:val="22"/>
          <w:szCs w:val="22"/>
        </w:rPr>
        <w:t>redit</w:t>
      </w:r>
      <w:r w:rsidR="007257EE" w:rsidRPr="00D15CB5">
        <w:rPr>
          <w:rFonts w:ascii="Arial" w:hAnsi="Arial" w:cs="Arial"/>
          <w:sz w:val="22"/>
          <w:szCs w:val="22"/>
        </w:rPr>
        <w:t>)</w:t>
      </w:r>
      <w:r w:rsidR="00B221D1" w:rsidRPr="00D15CB5">
        <w:rPr>
          <w:rFonts w:ascii="Arial" w:hAnsi="Arial" w:cs="Arial"/>
          <w:sz w:val="22"/>
          <w:szCs w:val="22"/>
        </w:rPr>
        <w:t xml:space="preserve"> [</w:t>
      </w:r>
      <w:r w:rsidR="00490DB9">
        <w:rPr>
          <w:rFonts w:ascii="Arial" w:hAnsi="Arial" w:cs="Arial"/>
          <w:sz w:val="22"/>
          <w:szCs w:val="22"/>
        </w:rPr>
        <w:t>M</w:t>
      </w:r>
      <w:r w:rsidR="00BF693B">
        <w:rPr>
          <w:rFonts w:ascii="Arial" w:hAnsi="Arial" w:cs="Arial"/>
          <w:sz w:val="22"/>
          <w:szCs w:val="22"/>
        </w:rPr>
        <w:t>on</w:t>
      </w:r>
      <w:r w:rsidR="00490DB9">
        <w:rPr>
          <w:rFonts w:ascii="Arial" w:hAnsi="Arial" w:cs="Arial"/>
          <w:sz w:val="22"/>
          <w:szCs w:val="22"/>
        </w:rPr>
        <w:t xml:space="preserve"> / W</w:t>
      </w:r>
      <w:r w:rsidR="00BF693B">
        <w:rPr>
          <w:rFonts w:ascii="Arial" w:hAnsi="Arial" w:cs="Arial"/>
          <w:sz w:val="22"/>
          <w:szCs w:val="22"/>
        </w:rPr>
        <w:t xml:space="preserve">ed </w:t>
      </w:r>
      <w:r w:rsidR="00490DB9">
        <w:rPr>
          <w:rFonts w:ascii="Arial" w:hAnsi="Arial" w:cs="Arial"/>
          <w:sz w:val="22"/>
          <w:szCs w:val="22"/>
        </w:rPr>
        <w:t>/ F</w:t>
      </w:r>
      <w:r w:rsidR="00BF693B">
        <w:rPr>
          <w:rFonts w:ascii="Arial" w:hAnsi="Arial" w:cs="Arial"/>
          <w:sz w:val="22"/>
          <w:szCs w:val="22"/>
        </w:rPr>
        <w:t>ri</w:t>
      </w:r>
      <w:r w:rsidR="00490DB9">
        <w:rPr>
          <w:rFonts w:ascii="Arial" w:hAnsi="Arial" w:cs="Arial"/>
          <w:sz w:val="22"/>
          <w:szCs w:val="22"/>
        </w:rPr>
        <w:t xml:space="preserve"> 10:30-11:30 am</w:t>
      </w:r>
      <w:r w:rsidR="00B221D1" w:rsidRPr="00D15CB5">
        <w:rPr>
          <w:rFonts w:ascii="Arial" w:hAnsi="Arial" w:cs="Arial"/>
          <w:sz w:val="22"/>
          <w:szCs w:val="22"/>
        </w:rPr>
        <w:t>]</w:t>
      </w:r>
    </w:p>
    <w:p w14:paraId="661BEA9D" w14:textId="6B00D6A6" w:rsidR="002F7593" w:rsidRPr="00D15CB5" w:rsidRDefault="007257EE" w:rsidP="007257EE">
      <w:pPr>
        <w:widowControl w:val="0"/>
        <w:autoSpaceDE w:val="0"/>
        <w:autoSpaceDN w:val="0"/>
        <w:adjustRightInd w:val="0"/>
        <w:spacing w:after="240"/>
        <w:rPr>
          <w:rFonts w:ascii="Arial" w:hAnsi="Arial" w:cs="Arial"/>
          <w:b/>
          <w:bCs/>
          <w:sz w:val="22"/>
          <w:szCs w:val="22"/>
        </w:rPr>
      </w:pPr>
      <w:r w:rsidRPr="00D15CB5">
        <w:rPr>
          <w:rFonts w:ascii="Arial" w:hAnsi="Arial" w:cs="Arial"/>
          <w:b/>
          <w:bCs/>
          <w:sz w:val="22"/>
          <w:szCs w:val="22"/>
        </w:rPr>
        <w:t>Dr</w:t>
      </w:r>
      <w:r w:rsidR="00562895" w:rsidRPr="00D15CB5">
        <w:rPr>
          <w:rFonts w:ascii="Arial" w:hAnsi="Arial" w:cs="Arial"/>
          <w:b/>
          <w:bCs/>
          <w:sz w:val="22"/>
          <w:szCs w:val="22"/>
        </w:rPr>
        <w:t>.</w:t>
      </w:r>
      <w:r w:rsidRPr="00D15CB5">
        <w:rPr>
          <w:rFonts w:ascii="Arial" w:hAnsi="Arial" w:cs="Arial"/>
          <w:b/>
          <w:bCs/>
          <w:sz w:val="22"/>
          <w:szCs w:val="22"/>
        </w:rPr>
        <w:t xml:space="preserve"> </w:t>
      </w:r>
      <w:r w:rsidR="008C0443" w:rsidRPr="00D15CB5">
        <w:rPr>
          <w:rFonts w:ascii="Arial" w:hAnsi="Arial" w:cs="Arial"/>
          <w:b/>
          <w:bCs/>
          <w:sz w:val="22"/>
          <w:szCs w:val="22"/>
        </w:rPr>
        <w:t>Mark Wallet</w:t>
      </w:r>
      <w:r w:rsidR="002F7593" w:rsidRPr="00D15CB5">
        <w:rPr>
          <w:rFonts w:ascii="Arial" w:hAnsi="Arial" w:cs="Arial"/>
          <w:b/>
          <w:bCs/>
          <w:sz w:val="22"/>
          <w:szCs w:val="22"/>
        </w:rPr>
        <w:t xml:space="preserve"> - </w:t>
      </w:r>
      <w:r w:rsidRPr="00D15CB5">
        <w:rPr>
          <w:rFonts w:ascii="Arial" w:hAnsi="Arial" w:cs="Arial"/>
          <w:b/>
          <w:bCs/>
          <w:sz w:val="22"/>
          <w:szCs w:val="22"/>
        </w:rPr>
        <w:t xml:space="preserve">course coordinator </w:t>
      </w:r>
    </w:p>
    <w:p w14:paraId="5804796D" w14:textId="77777777" w:rsidR="007257EE" w:rsidRPr="00D15CB5"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b/>
          <w:bCs/>
          <w:sz w:val="22"/>
          <w:szCs w:val="22"/>
        </w:rPr>
        <w:t>Un</w:t>
      </w:r>
      <w:r w:rsidR="002F7593" w:rsidRPr="00D15CB5">
        <w:rPr>
          <w:rFonts w:ascii="Arial" w:hAnsi="Arial" w:cs="Arial"/>
          <w:b/>
          <w:bCs/>
          <w:sz w:val="22"/>
          <w:szCs w:val="22"/>
        </w:rPr>
        <w:t xml:space="preserve">iversity of Florida, College </w:t>
      </w:r>
      <w:r w:rsidR="007A77A1" w:rsidRPr="00D15CB5">
        <w:rPr>
          <w:rFonts w:ascii="Arial" w:hAnsi="Arial" w:cs="Arial"/>
          <w:b/>
          <w:bCs/>
          <w:sz w:val="22"/>
          <w:szCs w:val="22"/>
        </w:rPr>
        <w:t xml:space="preserve">of Medicine </w:t>
      </w:r>
    </w:p>
    <w:p w14:paraId="3EB3361F" w14:textId="21572EAB" w:rsidR="00562895" w:rsidRPr="00D15CB5" w:rsidRDefault="007257EE" w:rsidP="007257EE">
      <w:pPr>
        <w:widowControl w:val="0"/>
        <w:autoSpaceDE w:val="0"/>
        <w:autoSpaceDN w:val="0"/>
        <w:adjustRightInd w:val="0"/>
        <w:spacing w:after="240"/>
        <w:rPr>
          <w:rFonts w:ascii="Arial" w:hAnsi="Arial" w:cs="Arial"/>
          <w:b/>
          <w:bCs/>
          <w:sz w:val="22"/>
          <w:szCs w:val="22"/>
        </w:rPr>
      </w:pPr>
      <w:r w:rsidRPr="00D15CB5">
        <w:rPr>
          <w:rFonts w:ascii="Arial" w:hAnsi="Arial" w:cs="Arial"/>
          <w:b/>
          <w:bCs/>
          <w:sz w:val="22"/>
          <w:szCs w:val="22"/>
        </w:rPr>
        <w:t xml:space="preserve">I. </w:t>
      </w:r>
      <w:r w:rsidR="008C0443" w:rsidRPr="00D15CB5">
        <w:rPr>
          <w:rFonts w:ascii="Arial" w:hAnsi="Arial" w:cs="Arial"/>
          <w:b/>
          <w:bCs/>
          <w:sz w:val="22"/>
          <w:szCs w:val="22"/>
        </w:rPr>
        <w:t>Course Information for Year 201</w:t>
      </w:r>
      <w:r w:rsidR="009B45AF">
        <w:rPr>
          <w:rFonts w:ascii="Arial" w:hAnsi="Arial" w:cs="Arial"/>
          <w:b/>
          <w:bCs/>
          <w:sz w:val="22"/>
          <w:szCs w:val="22"/>
        </w:rPr>
        <w:t>8</w:t>
      </w:r>
      <w:r w:rsidRPr="00D15CB5">
        <w:rPr>
          <w:rFonts w:ascii="Arial" w:hAnsi="Arial" w:cs="Arial"/>
          <w:b/>
          <w:bCs/>
          <w:sz w:val="22"/>
          <w:szCs w:val="22"/>
        </w:rPr>
        <w:t xml:space="preserve"> </w:t>
      </w:r>
      <w:r w:rsidRPr="00D15CB5">
        <w:rPr>
          <w:rFonts w:ascii="Arial" w:hAnsi="Arial" w:cs="Arial"/>
          <w:sz w:val="22"/>
          <w:szCs w:val="22"/>
        </w:rPr>
        <w:t xml:space="preserve">Number: </w:t>
      </w:r>
      <w:r w:rsidR="002F7593" w:rsidRPr="00D15CB5">
        <w:rPr>
          <w:rFonts w:ascii="Arial" w:hAnsi="Arial" w:cs="Arial"/>
          <w:b/>
          <w:bCs/>
          <w:sz w:val="22"/>
          <w:szCs w:val="22"/>
        </w:rPr>
        <w:t xml:space="preserve">GMS </w:t>
      </w:r>
      <w:r w:rsidR="00490DB9">
        <w:rPr>
          <w:rFonts w:ascii="Arial" w:hAnsi="Arial" w:cs="Arial"/>
          <w:b/>
          <w:bCs/>
          <w:sz w:val="22"/>
          <w:szCs w:val="22"/>
        </w:rPr>
        <w:t>6143</w:t>
      </w:r>
    </w:p>
    <w:p w14:paraId="7C300FD6" w14:textId="77777777" w:rsidR="007257EE" w:rsidRPr="00D15CB5"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sz w:val="22"/>
          <w:szCs w:val="22"/>
        </w:rPr>
        <w:t>Semester: Fall</w:t>
      </w:r>
    </w:p>
    <w:p w14:paraId="56CE61B7" w14:textId="77777777" w:rsidR="007257EE" w:rsidRPr="00D15CB5"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b/>
          <w:bCs/>
          <w:sz w:val="22"/>
          <w:szCs w:val="22"/>
        </w:rPr>
        <w:t>II. General Information</w:t>
      </w:r>
    </w:p>
    <w:p w14:paraId="46878917" w14:textId="1F985115" w:rsidR="00C6773F"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sz w:val="22"/>
          <w:szCs w:val="22"/>
        </w:rPr>
        <w:t xml:space="preserve">Course director: Dr. </w:t>
      </w:r>
      <w:r w:rsidR="008C0443" w:rsidRPr="00D15CB5">
        <w:rPr>
          <w:rFonts w:ascii="Arial" w:hAnsi="Arial" w:cs="Arial"/>
          <w:sz w:val="22"/>
          <w:szCs w:val="22"/>
        </w:rPr>
        <w:t>Mark A. Wallet</w:t>
      </w:r>
      <w:r w:rsidR="001934CA" w:rsidRPr="00D15CB5">
        <w:rPr>
          <w:rFonts w:ascii="Arial" w:hAnsi="Arial" w:cs="Arial"/>
          <w:sz w:val="22"/>
          <w:szCs w:val="22"/>
        </w:rPr>
        <w:t>, PhD</w:t>
      </w:r>
    </w:p>
    <w:p w14:paraId="1AA0E0AD" w14:textId="4EA66F99" w:rsidR="00FA18F6" w:rsidRPr="00FA18F6" w:rsidRDefault="009B45AF" w:rsidP="007257EE">
      <w:pPr>
        <w:widowControl w:val="0"/>
        <w:autoSpaceDE w:val="0"/>
        <w:autoSpaceDN w:val="0"/>
        <w:adjustRightInd w:val="0"/>
        <w:spacing w:after="240"/>
        <w:rPr>
          <w:rFonts w:ascii="Arial" w:hAnsi="Arial" w:cs="Arial"/>
          <w:sz w:val="22"/>
          <w:szCs w:val="22"/>
        </w:rPr>
      </w:pPr>
      <w:r>
        <w:rPr>
          <w:rFonts w:ascii="Arial" w:hAnsi="Arial" w:cs="Arial"/>
          <w:sz w:val="22"/>
          <w:szCs w:val="22"/>
        </w:rPr>
        <w:t>Classroom location:  CG56</w:t>
      </w:r>
    </w:p>
    <w:p w14:paraId="58A30880" w14:textId="66C61F1A" w:rsidR="00C6773F" w:rsidRPr="00D15CB5"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sz w:val="22"/>
          <w:szCs w:val="22"/>
        </w:rPr>
        <w:t>Of</w:t>
      </w:r>
      <w:r w:rsidR="00562895" w:rsidRPr="00D15CB5">
        <w:rPr>
          <w:rFonts w:ascii="Arial" w:hAnsi="Arial" w:cs="Arial"/>
          <w:sz w:val="22"/>
          <w:szCs w:val="22"/>
        </w:rPr>
        <w:t xml:space="preserve">fice location &amp; office hours: </w:t>
      </w:r>
      <w:r w:rsidR="002577CD">
        <w:rPr>
          <w:rFonts w:ascii="Arial" w:hAnsi="Arial" w:cs="Arial"/>
          <w:sz w:val="22"/>
          <w:szCs w:val="22"/>
        </w:rPr>
        <w:t>BMS J583</w:t>
      </w:r>
      <w:r w:rsidR="00C6773F" w:rsidRPr="00D15CB5">
        <w:rPr>
          <w:rFonts w:ascii="Arial" w:hAnsi="Arial" w:cs="Arial"/>
          <w:sz w:val="22"/>
          <w:szCs w:val="22"/>
        </w:rPr>
        <w:t>, 9</w:t>
      </w:r>
      <w:r w:rsidR="002F7593" w:rsidRPr="00D15CB5">
        <w:rPr>
          <w:rFonts w:ascii="Arial" w:hAnsi="Arial" w:cs="Arial"/>
          <w:sz w:val="22"/>
          <w:szCs w:val="22"/>
        </w:rPr>
        <w:t xml:space="preserve"> AM</w:t>
      </w:r>
      <w:r w:rsidR="00C6773F" w:rsidRPr="00D15CB5">
        <w:rPr>
          <w:rFonts w:ascii="Arial" w:hAnsi="Arial" w:cs="Arial"/>
          <w:sz w:val="22"/>
          <w:szCs w:val="22"/>
        </w:rPr>
        <w:t xml:space="preserve"> – 10</w:t>
      </w:r>
      <w:r w:rsidR="002F7593" w:rsidRPr="00D15CB5">
        <w:rPr>
          <w:rFonts w:ascii="Arial" w:hAnsi="Arial" w:cs="Arial"/>
          <w:sz w:val="22"/>
          <w:szCs w:val="22"/>
        </w:rPr>
        <w:t xml:space="preserve"> AM</w:t>
      </w:r>
      <w:r w:rsidRPr="00D15CB5">
        <w:rPr>
          <w:rFonts w:ascii="Arial" w:hAnsi="Arial" w:cs="Arial"/>
          <w:sz w:val="22"/>
          <w:szCs w:val="22"/>
        </w:rPr>
        <w:t xml:space="preserve"> </w:t>
      </w:r>
      <w:r w:rsidR="00C6773F" w:rsidRPr="00D15CB5">
        <w:rPr>
          <w:rFonts w:ascii="Arial" w:hAnsi="Arial" w:cs="Arial"/>
          <w:sz w:val="22"/>
          <w:szCs w:val="22"/>
        </w:rPr>
        <w:t>Tuesday</w:t>
      </w:r>
      <w:r w:rsidR="00490DB9">
        <w:rPr>
          <w:rFonts w:ascii="Arial" w:hAnsi="Arial" w:cs="Arial"/>
          <w:sz w:val="22"/>
          <w:szCs w:val="22"/>
        </w:rPr>
        <w:t xml:space="preserve"> </w:t>
      </w:r>
    </w:p>
    <w:p w14:paraId="018A0BD8" w14:textId="5876352C" w:rsidR="002F7593" w:rsidRPr="00D15CB5" w:rsidRDefault="002F7593" w:rsidP="007257EE">
      <w:pPr>
        <w:widowControl w:val="0"/>
        <w:autoSpaceDE w:val="0"/>
        <w:autoSpaceDN w:val="0"/>
        <w:adjustRightInd w:val="0"/>
        <w:spacing w:after="240"/>
        <w:rPr>
          <w:rFonts w:ascii="Arial" w:hAnsi="Arial" w:cs="Arial"/>
          <w:color w:val="0000FF"/>
          <w:sz w:val="22"/>
          <w:szCs w:val="22"/>
        </w:rPr>
      </w:pPr>
      <w:r w:rsidRPr="00D15CB5">
        <w:rPr>
          <w:rFonts w:ascii="Arial" w:hAnsi="Arial" w:cs="Arial"/>
          <w:sz w:val="22"/>
          <w:szCs w:val="22"/>
        </w:rPr>
        <w:t>Office phone number: 352-273-</w:t>
      </w:r>
      <w:r w:rsidR="008C0443" w:rsidRPr="00D15CB5">
        <w:rPr>
          <w:rFonts w:ascii="Arial" w:hAnsi="Arial" w:cs="Arial"/>
          <w:sz w:val="22"/>
          <w:szCs w:val="22"/>
        </w:rPr>
        <w:t>8164</w:t>
      </w:r>
      <w:r w:rsidR="001934CA" w:rsidRPr="00D15CB5">
        <w:rPr>
          <w:rFonts w:ascii="Arial" w:hAnsi="Arial" w:cs="Arial"/>
          <w:sz w:val="22"/>
          <w:szCs w:val="22"/>
        </w:rPr>
        <w:t xml:space="preserve"> </w:t>
      </w:r>
      <w:r w:rsidR="007257EE" w:rsidRPr="00D15CB5">
        <w:rPr>
          <w:rFonts w:ascii="Arial" w:hAnsi="Arial" w:cs="Arial"/>
          <w:sz w:val="22"/>
          <w:szCs w:val="22"/>
        </w:rPr>
        <w:t>E</w:t>
      </w:r>
      <w:r w:rsidRPr="00D15CB5">
        <w:rPr>
          <w:rFonts w:ascii="Arial" w:hAnsi="Arial" w:cs="Arial"/>
          <w:sz w:val="22"/>
          <w:szCs w:val="22"/>
        </w:rPr>
        <w:t>-</w:t>
      </w:r>
      <w:r w:rsidR="007257EE" w:rsidRPr="00D15CB5">
        <w:rPr>
          <w:rFonts w:ascii="Arial" w:hAnsi="Arial" w:cs="Arial"/>
          <w:sz w:val="22"/>
          <w:szCs w:val="22"/>
        </w:rPr>
        <w:t xml:space="preserve">mail: </w:t>
      </w:r>
      <w:r w:rsidR="008C0443" w:rsidRPr="00D15CB5">
        <w:rPr>
          <w:rFonts w:ascii="Arial" w:hAnsi="Arial" w:cs="Arial"/>
          <w:color w:val="0000FF"/>
          <w:sz w:val="22"/>
          <w:szCs w:val="22"/>
        </w:rPr>
        <w:t>mawallet@pathology.ufl.edu</w:t>
      </w:r>
    </w:p>
    <w:p w14:paraId="0E101B13" w14:textId="77777777" w:rsidR="001D665C" w:rsidRPr="00D15CB5" w:rsidRDefault="007257EE" w:rsidP="001D665C">
      <w:pPr>
        <w:widowControl w:val="0"/>
        <w:autoSpaceDE w:val="0"/>
        <w:autoSpaceDN w:val="0"/>
        <w:adjustRightInd w:val="0"/>
        <w:spacing w:after="240"/>
        <w:rPr>
          <w:rFonts w:ascii="Arial" w:hAnsi="Arial" w:cs="Arial"/>
          <w:sz w:val="22"/>
          <w:szCs w:val="22"/>
        </w:rPr>
      </w:pPr>
      <w:r w:rsidRPr="00D15CB5">
        <w:rPr>
          <w:rFonts w:ascii="Arial" w:hAnsi="Arial" w:cs="Arial"/>
          <w:sz w:val="22"/>
          <w:szCs w:val="22"/>
        </w:rPr>
        <w:t xml:space="preserve">Teaching Assistant: </w:t>
      </w:r>
      <w:r w:rsidR="002F7593" w:rsidRPr="00D15CB5">
        <w:rPr>
          <w:rFonts w:ascii="Arial" w:hAnsi="Arial" w:cs="Arial"/>
          <w:sz w:val="22"/>
          <w:szCs w:val="22"/>
        </w:rPr>
        <w:t>None</w:t>
      </w:r>
    </w:p>
    <w:p w14:paraId="7C6D4A0E" w14:textId="1AEB6186" w:rsidR="00A31949" w:rsidRPr="00D15CB5" w:rsidRDefault="001D665C" w:rsidP="001D665C">
      <w:pPr>
        <w:widowControl w:val="0"/>
        <w:autoSpaceDE w:val="0"/>
        <w:autoSpaceDN w:val="0"/>
        <w:adjustRightInd w:val="0"/>
        <w:spacing w:after="240"/>
        <w:rPr>
          <w:rFonts w:ascii="Arial" w:hAnsi="Arial" w:cs="Arial"/>
          <w:sz w:val="22"/>
          <w:szCs w:val="22"/>
        </w:rPr>
      </w:pPr>
      <w:r w:rsidRPr="00D15CB5">
        <w:rPr>
          <w:rFonts w:ascii="Arial" w:hAnsi="Arial" w:cs="Arial"/>
          <w:b/>
          <w:bCs/>
          <w:sz w:val="22"/>
          <w:szCs w:val="22"/>
        </w:rPr>
        <w:t>III. Course Description</w:t>
      </w:r>
    </w:p>
    <w:p w14:paraId="27F28E66" w14:textId="1CDE53AF" w:rsidR="007725A9" w:rsidRPr="00D15CB5" w:rsidRDefault="007725A9" w:rsidP="007725A9">
      <w:pPr>
        <w:widowControl w:val="0"/>
        <w:numPr>
          <w:ilvl w:val="0"/>
          <w:numId w:val="1"/>
        </w:numPr>
        <w:tabs>
          <w:tab w:val="left" w:pos="0"/>
          <w:tab w:val="left" w:pos="220"/>
        </w:tabs>
        <w:autoSpaceDE w:val="0"/>
        <w:autoSpaceDN w:val="0"/>
        <w:adjustRightInd w:val="0"/>
        <w:spacing w:after="240"/>
        <w:ind w:left="0" w:firstLine="0"/>
        <w:rPr>
          <w:rFonts w:ascii="Arial" w:hAnsi="Arial" w:cs="Arial"/>
          <w:sz w:val="22"/>
          <w:szCs w:val="22"/>
        </w:rPr>
      </w:pPr>
      <w:r w:rsidRPr="00D15CB5">
        <w:rPr>
          <w:rFonts w:ascii="Arial" w:hAnsi="Arial" w:cs="Arial"/>
          <w:i/>
          <w:iCs/>
          <w:sz w:val="22"/>
          <w:szCs w:val="22"/>
        </w:rPr>
        <w:t>Course goals/ Educational goals of the course</w:t>
      </w:r>
      <w:r w:rsidRPr="00D15CB5">
        <w:rPr>
          <w:rFonts w:ascii="Arial" w:hAnsi="Arial" w:cs="Arial"/>
          <w:sz w:val="22"/>
          <w:szCs w:val="22"/>
        </w:rPr>
        <w:t xml:space="preserve">: Gain an understanding of the </w:t>
      </w:r>
      <w:r w:rsidR="00877E8C">
        <w:rPr>
          <w:rFonts w:ascii="Arial" w:hAnsi="Arial" w:cs="Arial"/>
          <w:sz w:val="22"/>
          <w:szCs w:val="22"/>
        </w:rPr>
        <w:t xml:space="preserve">major </w:t>
      </w:r>
      <w:r w:rsidRPr="00D15CB5">
        <w:rPr>
          <w:rFonts w:ascii="Arial" w:hAnsi="Arial" w:cs="Arial"/>
          <w:sz w:val="22"/>
          <w:szCs w:val="22"/>
        </w:rPr>
        <w:t xml:space="preserve">cell types that make up the innate immune system. </w:t>
      </w:r>
      <w:r>
        <w:rPr>
          <w:rFonts w:ascii="Arial" w:hAnsi="Arial" w:cs="Arial"/>
          <w:sz w:val="22"/>
          <w:szCs w:val="22"/>
        </w:rPr>
        <w:t xml:space="preserve"> </w:t>
      </w:r>
      <w:r w:rsidRPr="00D15CB5">
        <w:rPr>
          <w:rFonts w:ascii="Arial" w:hAnsi="Arial" w:cs="Arial"/>
          <w:sz w:val="22"/>
          <w:szCs w:val="22"/>
        </w:rPr>
        <w:t xml:space="preserve">Become familiar with the concepts of innate immune cells in recognition of pathogens as well as tolerance of commensal organisms and self-tissues. </w:t>
      </w:r>
      <w:r>
        <w:rPr>
          <w:rFonts w:ascii="Arial" w:hAnsi="Arial" w:cs="Arial"/>
          <w:sz w:val="22"/>
          <w:szCs w:val="22"/>
        </w:rPr>
        <w:t xml:space="preserve"> </w:t>
      </w:r>
      <w:r w:rsidRPr="00D15CB5">
        <w:rPr>
          <w:rFonts w:ascii="Arial" w:hAnsi="Arial" w:cs="Arial"/>
          <w:sz w:val="22"/>
          <w:szCs w:val="22"/>
        </w:rPr>
        <w:t xml:space="preserve">Appreciate the interrelatedness of innate immune cells and the coordinated mechanisms required to thwart pathogenic microorganisms. </w:t>
      </w:r>
      <w:r>
        <w:rPr>
          <w:rFonts w:ascii="Arial" w:hAnsi="Arial" w:cs="Arial"/>
          <w:sz w:val="22"/>
          <w:szCs w:val="22"/>
        </w:rPr>
        <w:t xml:space="preserve"> </w:t>
      </w:r>
      <w:r w:rsidRPr="00D15CB5">
        <w:rPr>
          <w:rFonts w:ascii="Arial" w:hAnsi="Arial" w:cs="Arial"/>
          <w:sz w:val="22"/>
          <w:szCs w:val="22"/>
        </w:rPr>
        <w:t xml:space="preserve">Learn how genetic defects lead to alterations in innate immunity </w:t>
      </w:r>
      <w:r w:rsidR="000A7318">
        <w:rPr>
          <w:rFonts w:ascii="Arial" w:hAnsi="Arial" w:cs="Arial"/>
          <w:sz w:val="22"/>
          <w:szCs w:val="22"/>
        </w:rPr>
        <w:t>which</w:t>
      </w:r>
      <w:r w:rsidRPr="00D15CB5">
        <w:rPr>
          <w:rFonts w:ascii="Arial" w:hAnsi="Arial" w:cs="Arial"/>
          <w:sz w:val="22"/>
          <w:szCs w:val="22"/>
        </w:rPr>
        <w:t xml:space="preserve"> </w:t>
      </w:r>
      <w:r>
        <w:rPr>
          <w:rFonts w:ascii="Arial" w:hAnsi="Arial" w:cs="Arial"/>
          <w:sz w:val="22"/>
          <w:szCs w:val="22"/>
        </w:rPr>
        <w:t>cause</w:t>
      </w:r>
      <w:r w:rsidRPr="00D15CB5">
        <w:rPr>
          <w:rFonts w:ascii="Arial" w:hAnsi="Arial" w:cs="Arial"/>
          <w:sz w:val="22"/>
          <w:szCs w:val="22"/>
        </w:rPr>
        <w:t xml:space="preserve"> human disease. </w:t>
      </w:r>
    </w:p>
    <w:p w14:paraId="1F4D94C8" w14:textId="00F1DC01" w:rsidR="007725A9" w:rsidRPr="00D15CB5" w:rsidRDefault="007725A9" w:rsidP="007725A9">
      <w:pPr>
        <w:widowControl w:val="0"/>
        <w:autoSpaceDE w:val="0"/>
        <w:autoSpaceDN w:val="0"/>
        <w:adjustRightInd w:val="0"/>
        <w:rPr>
          <w:rFonts w:ascii="Arial" w:hAnsi="Arial" w:cs="Arial"/>
          <w:sz w:val="22"/>
          <w:szCs w:val="22"/>
        </w:rPr>
      </w:pPr>
      <w:r w:rsidRPr="00D15CB5">
        <w:rPr>
          <w:rFonts w:ascii="Arial" w:hAnsi="Arial" w:cs="Arial"/>
          <w:i/>
          <w:iCs/>
          <w:sz w:val="22"/>
          <w:szCs w:val="22"/>
        </w:rPr>
        <w:t>Course objectives</w:t>
      </w:r>
      <w:r w:rsidRPr="00D15CB5">
        <w:rPr>
          <w:rFonts w:ascii="Arial" w:hAnsi="Arial" w:cs="Arial"/>
          <w:sz w:val="22"/>
          <w:szCs w:val="22"/>
        </w:rPr>
        <w:t>: This course will utilize 1/3 didactic lectures</w:t>
      </w:r>
      <w:r w:rsidR="00490DB9">
        <w:rPr>
          <w:rFonts w:ascii="Arial" w:hAnsi="Arial" w:cs="Arial"/>
          <w:sz w:val="22"/>
          <w:szCs w:val="22"/>
        </w:rPr>
        <w:t>,</w:t>
      </w:r>
      <w:r w:rsidRPr="00D15CB5">
        <w:rPr>
          <w:rFonts w:ascii="Arial" w:hAnsi="Arial" w:cs="Arial"/>
          <w:sz w:val="22"/>
          <w:szCs w:val="22"/>
        </w:rPr>
        <w:t xml:space="preserve"> </w:t>
      </w:r>
      <w:r w:rsidR="00490DB9">
        <w:rPr>
          <w:rFonts w:ascii="Arial" w:hAnsi="Arial" w:cs="Arial"/>
          <w:sz w:val="22"/>
          <w:szCs w:val="22"/>
        </w:rPr>
        <w:t>1</w:t>
      </w:r>
      <w:r w:rsidRPr="00D15CB5">
        <w:rPr>
          <w:rFonts w:ascii="Arial" w:hAnsi="Arial" w:cs="Arial"/>
          <w:sz w:val="22"/>
          <w:szCs w:val="22"/>
        </w:rPr>
        <w:t>/3 review of historical/current literature to bridge basic concepts of innate immune cells with seminal findings in the field</w:t>
      </w:r>
      <w:r w:rsidR="00490DB9">
        <w:rPr>
          <w:rFonts w:ascii="Arial" w:hAnsi="Arial" w:cs="Arial"/>
          <w:sz w:val="22"/>
          <w:szCs w:val="22"/>
        </w:rPr>
        <w:t>, and 1/3 case studies to understand how defects in innate immunity lead to clinical diseases</w:t>
      </w:r>
      <w:r w:rsidRPr="00D15CB5">
        <w:rPr>
          <w:rFonts w:ascii="Arial" w:hAnsi="Arial" w:cs="Arial"/>
          <w:sz w:val="22"/>
          <w:szCs w:val="22"/>
        </w:rPr>
        <w:t>. Literature review</w:t>
      </w:r>
      <w:r w:rsidR="00490DB9">
        <w:rPr>
          <w:rFonts w:ascii="Arial" w:hAnsi="Arial" w:cs="Arial"/>
          <w:sz w:val="22"/>
          <w:szCs w:val="22"/>
        </w:rPr>
        <w:t xml:space="preserve"> and case studies</w:t>
      </w:r>
      <w:r w:rsidRPr="00D15CB5">
        <w:rPr>
          <w:rFonts w:ascii="Arial" w:hAnsi="Arial" w:cs="Arial"/>
          <w:sz w:val="22"/>
          <w:szCs w:val="22"/>
        </w:rPr>
        <w:t xml:space="preserve"> will be driven by student participation.</w:t>
      </w:r>
    </w:p>
    <w:p w14:paraId="69305F63" w14:textId="77777777" w:rsidR="00764AE9" w:rsidRPr="00D15CB5" w:rsidRDefault="00764AE9" w:rsidP="007257EE">
      <w:pPr>
        <w:widowControl w:val="0"/>
        <w:autoSpaceDE w:val="0"/>
        <w:autoSpaceDN w:val="0"/>
        <w:adjustRightInd w:val="0"/>
        <w:spacing w:after="240"/>
        <w:rPr>
          <w:rFonts w:ascii="Arial" w:hAnsi="Arial" w:cs="Arial"/>
          <w:b/>
          <w:bCs/>
          <w:sz w:val="22"/>
          <w:szCs w:val="22"/>
        </w:rPr>
      </w:pPr>
    </w:p>
    <w:p w14:paraId="7FC83FD6" w14:textId="5991D20D" w:rsidR="00764AE9" w:rsidRPr="00D15CB5" w:rsidRDefault="00490DB9" w:rsidP="007257EE">
      <w:pPr>
        <w:widowControl w:val="0"/>
        <w:autoSpaceDE w:val="0"/>
        <w:autoSpaceDN w:val="0"/>
        <w:adjustRightInd w:val="0"/>
        <w:spacing w:after="240"/>
        <w:rPr>
          <w:rFonts w:ascii="Arial" w:hAnsi="Arial" w:cs="Arial"/>
          <w:b/>
          <w:bCs/>
          <w:sz w:val="22"/>
          <w:szCs w:val="22"/>
        </w:rPr>
      </w:pPr>
      <w:r>
        <w:rPr>
          <w:rFonts w:ascii="Arial" w:hAnsi="Arial" w:cs="Arial"/>
          <w:b/>
          <w:bCs/>
          <w:sz w:val="22"/>
          <w:szCs w:val="22"/>
        </w:rPr>
        <w:t xml:space="preserve">IV. </w:t>
      </w:r>
      <w:r w:rsidR="00764AE9" w:rsidRPr="00D15CB5">
        <w:rPr>
          <w:rFonts w:ascii="Arial" w:hAnsi="Arial" w:cs="Arial"/>
          <w:b/>
          <w:bCs/>
          <w:sz w:val="22"/>
          <w:szCs w:val="22"/>
        </w:rPr>
        <w:t>Rationale and place in the curriculum</w:t>
      </w:r>
    </w:p>
    <w:p w14:paraId="16A36A61" w14:textId="77777777" w:rsidR="007725A9" w:rsidRPr="00D15CB5" w:rsidRDefault="007725A9" w:rsidP="007725A9">
      <w:pPr>
        <w:widowControl w:val="0"/>
        <w:autoSpaceDE w:val="0"/>
        <w:autoSpaceDN w:val="0"/>
        <w:adjustRightInd w:val="0"/>
        <w:spacing w:after="240"/>
        <w:rPr>
          <w:rFonts w:ascii="Arial" w:hAnsi="Arial" w:cs="Arial"/>
          <w:bCs/>
          <w:sz w:val="22"/>
          <w:szCs w:val="22"/>
        </w:rPr>
      </w:pPr>
      <w:r w:rsidRPr="00D15CB5">
        <w:rPr>
          <w:rFonts w:ascii="Arial" w:hAnsi="Arial" w:cs="Arial"/>
          <w:bCs/>
          <w:sz w:val="22"/>
          <w:szCs w:val="22"/>
        </w:rPr>
        <w:t xml:space="preserve">The current IDP graduate immunology program does not offer any similar courses.  This course is designed to focus special attention on innate immune cells and their role in protective/tolerogenic immunity. While </w:t>
      </w:r>
      <w:r>
        <w:rPr>
          <w:rFonts w:ascii="Arial" w:hAnsi="Arial" w:cs="Arial"/>
          <w:bCs/>
          <w:sz w:val="22"/>
          <w:szCs w:val="22"/>
        </w:rPr>
        <w:t xml:space="preserve">some </w:t>
      </w:r>
      <w:r w:rsidRPr="00D15CB5">
        <w:rPr>
          <w:rFonts w:ascii="Arial" w:hAnsi="Arial" w:cs="Arial"/>
          <w:bCs/>
          <w:sz w:val="22"/>
          <w:szCs w:val="22"/>
        </w:rPr>
        <w:t>existing courses</w:t>
      </w:r>
      <w:r>
        <w:rPr>
          <w:rFonts w:ascii="Arial" w:hAnsi="Arial" w:cs="Arial"/>
          <w:bCs/>
          <w:sz w:val="22"/>
          <w:szCs w:val="22"/>
        </w:rPr>
        <w:t xml:space="preserve"> are synergistic and</w:t>
      </w:r>
      <w:r w:rsidRPr="00D15CB5">
        <w:rPr>
          <w:rFonts w:ascii="Arial" w:hAnsi="Arial" w:cs="Arial"/>
          <w:bCs/>
          <w:sz w:val="22"/>
          <w:szCs w:val="22"/>
        </w:rPr>
        <w:t xml:space="preserve"> address the overall immune processes that include innate and adaptive immune cells, no course provides in depth study of specific innate immune cells including macrophages, dendritic cells, neutrophils</w:t>
      </w:r>
      <w:r>
        <w:rPr>
          <w:rFonts w:ascii="Arial" w:hAnsi="Arial" w:cs="Arial"/>
          <w:bCs/>
          <w:sz w:val="22"/>
          <w:szCs w:val="22"/>
        </w:rPr>
        <w:t>,</w:t>
      </w:r>
      <w:r w:rsidRPr="00D15CB5">
        <w:rPr>
          <w:rFonts w:ascii="Arial" w:hAnsi="Arial" w:cs="Arial"/>
          <w:bCs/>
          <w:sz w:val="22"/>
          <w:szCs w:val="22"/>
        </w:rPr>
        <w:t xml:space="preserve"> and natural killer cells.  This course will fill a </w:t>
      </w:r>
      <w:r>
        <w:rPr>
          <w:rFonts w:ascii="Arial" w:hAnsi="Arial" w:cs="Arial"/>
          <w:bCs/>
          <w:sz w:val="22"/>
          <w:szCs w:val="22"/>
        </w:rPr>
        <w:t xml:space="preserve">major </w:t>
      </w:r>
      <w:r w:rsidRPr="00D15CB5">
        <w:rPr>
          <w:rFonts w:ascii="Arial" w:hAnsi="Arial" w:cs="Arial"/>
          <w:bCs/>
          <w:sz w:val="22"/>
          <w:szCs w:val="22"/>
        </w:rPr>
        <w:t xml:space="preserve">void in the curriculum by providing </w:t>
      </w:r>
      <w:r>
        <w:rPr>
          <w:rFonts w:ascii="Arial" w:hAnsi="Arial" w:cs="Arial"/>
          <w:bCs/>
          <w:sz w:val="22"/>
          <w:szCs w:val="22"/>
        </w:rPr>
        <w:t xml:space="preserve">advanced </w:t>
      </w:r>
      <w:r w:rsidRPr="00D15CB5">
        <w:rPr>
          <w:rFonts w:ascii="Arial" w:hAnsi="Arial" w:cs="Arial"/>
          <w:bCs/>
          <w:sz w:val="22"/>
          <w:szCs w:val="22"/>
        </w:rPr>
        <w:t>understanding of the</w:t>
      </w:r>
      <w:r>
        <w:rPr>
          <w:rFonts w:ascii="Arial" w:hAnsi="Arial" w:cs="Arial"/>
          <w:bCs/>
          <w:sz w:val="22"/>
          <w:szCs w:val="22"/>
        </w:rPr>
        <w:t>se</w:t>
      </w:r>
      <w:r w:rsidRPr="00D15CB5">
        <w:rPr>
          <w:rFonts w:ascii="Arial" w:hAnsi="Arial" w:cs="Arial"/>
          <w:bCs/>
          <w:sz w:val="22"/>
          <w:szCs w:val="22"/>
        </w:rPr>
        <w:t xml:space="preserve"> </w:t>
      </w:r>
      <w:r>
        <w:rPr>
          <w:rFonts w:ascii="Arial" w:hAnsi="Arial" w:cs="Arial"/>
          <w:bCs/>
          <w:sz w:val="22"/>
          <w:szCs w:val="22"/>
        </w:rPr>
        <w:t>essential</w:t>
      </w:r>
      <w:r w:rsidRPr="00D15CB5">
        <w:rPr>
          <w:rFonts w:ascii="Arial" w:hAnsi="Arial" w:cs="Arial"/>
          <w:bCs/>
          <w:sz w:val="22"/>
          <w:szCs w:val="22"/>
        </w:rPr>
        <w:t xml:space="preserve"> components of the human immune system so that students will have a solid foundation upon which to understand complicated immune processes.</w:t>
      </w:r>
    </w:p>
    <w:p w14:paraId="20D23954" w14:textId="3D3F0374" w:rsidR="00427E16" w:rsidRPr="00D15CB5" w:rsidRDefault="00764AE9" w:rsidP="007257EE">
      <w:pPr>
        <w:widowControl w:val="0"/>
        <w:autoSpaceDE w:val="0"/>
        <w:autoSpaceDN w:val="0"/>
        <w:adjustRightInd w:val="0"/>
        <w:spacing w:after="240"/>
        <w:rPr>
          <w:rFonts w:ascii="Arial" w:hAnsi="Arial" w:cs="Arial"/>
          <w:bCs/>
          <w:sz w:val="22"/>
          <w:szCs w:val="22"/>
        </w:rPr>
      </w:pPr>
      <w:r w:rsidRPr="00D15CB5">
        <w:rPr>
          <w:rFonts w:ascii="Arial" w:hAnsi="Arial" w:cs="Arial"/>
          <w:bCs/>
          <w:sz w:val="22"/>
          <w:szCs w:val="22"/>
        </w:rPr>
        <w:t xml:space="preserve">Departmental Contact: </w:t>
      </w:r>
      <w:r w:rsidR="001613C7" w:rsidRPr="00D15CB5">
        <w:rPr>
          <w:rFonts w:ascii="Arial" w:hAnsi="Arial" w:cs="Arial"/>
          <w:bCs/>
          <w:sz w:val="22"/>
          <w:szCs w:val="22"/>
        </w:rPr>
        <w:t>Mark A. Wallet</w:t>
      </w:r>
    </w:p>
    <w:p w14:paraId="11490D16" w14:textId="7C5F5DAC" w:rsidR="00764AE9" w:rsidRPr="00D15CB5" w:rsidRDefault="00427E16" w:rsidP="007257EE">
      <w:pPr>
        <w:widowControl w:val="0"/>
        <w:autoSpaceDE w:val="0"/>
        <w:autoSpaceDN w:val="0"/>
        <w:adjustRightInd w:val="0"/>
        <w:spacing w:after="240"/>
        <w:rPr>
          <w:rFonts w:ascii="Arial" w:hAnsi="Arial" w:cs="Arial"/>
          <w:bCs/>
          <w:sz w:val="22"/>
          <w:szCs w:val="22"/>
        </w:rPr>
      </w:pPr>
      <w:r w:rsidRPr="00D15CB5">
        <w:rPr>
          <w:rFonts w:ascii="Arial" w:hAnsi="Arial" w:cs="Arial"/>
          <w:bCs/>
          <w:sz w:val="22"/>
          <w:szCs w:val="22"/>
        </w:rPr>
        <w:t xml:space="preserve">Division Contact: </w:t>
      </w:r>
      <w:r w:rsidR="005E2D28" w:rsidRPr="00D15CB5">
        <w:rPr>
          <w:rFonts w:ascii="Arial" w:hAnsi="Arial" w:cs="Arial"/>
          <w:bCs/>
          <w:sz w:val="22"/>
          <w:szCs w:val="22"/>
        </w:rPr>
        <w:t>Laurence Morel</w:t>
      </w:r>
    </w:p>
    <w:p w14:paraId="0A23EB3A" w14:textId="4A3425B3" w:rsidR="007257EE" w:rsidRPr="00FA18F6" w:rsidRDefault="007257EE" w:rsidP="00FA18F6">
      <w:pPr>
        <w:rPr>
          <w:rFonts w:ascii="Arial" w:hAnsi="Arial" w:cs="Arial"/>
          <w:bCs/>
          <w:sz w:val="22"/>
          <w:szCs w:val="22"/>
        </w:rPr>
      </w:pPr>
      <w:r w:rsidRPr="00D15CB5">
        <w:rPr>
          <w:rFonts w:ascii="Arial" w:hAnsi="Arial" w:cs="Arial"/>
          <w:b/>
          <w:bCs/>
          <w:sz w:val="22"/>
          <w:szCs w:val="22"/>
        </w:rPr>
        <w:lastRenderedPageBreak/>
        <w:t>V. Course Materials</w:t>
      </w:r>
    </w:p>
    <w:p w14:paraId="1F03B53D" w14:textId="36755A70" w:rsidR="006F3555" w:rsidRPr="00123FD6"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sz w:val="22"/>
          <w:szCs w:val="22"/>
        </w:rPr>
        <w:t xml:space="preserve">Reading material will be provided </w:t>
      </w:r>
      <w:r w:rsidR="00B221D1" w:rsidRPr="00D15CB5">
        <w:rPr>
          <w:rFonts w:ascii="Arial" w:hAnsi="Arial" w:cs="Arial"/>
          <w:sz w:val="22"/>
          <w:szCs w:val="22"/>
        </w:rPr>
        <w:t xml:space="preserve">to the class </w:t>
      </w:r>
      <w:r w:rsidRPr="00D15CB5">
        <w:rPr>
          <w:rFonts w:ascii="Arial" w:hAnsi="Arial" w:cs="Arial"/>
          <w:sz w:val="22"/>
          <w:szCs w:val="22"/>
        </w:rPr>
        <w:t xml:space="preserve">in </w:t>
      </w:r>
      <w:r w:rsidR="00C06B16" w:rsidRPr="00D15CB5">
        <w:rPr>
          <w:rFonts w:ascii="Arial" w:hAnsi="Arial" w:cs="Arial"/>
          <w:sz w:val="22"/>
          <w:szCs w:val="22"/>
        </w:rPr>
        <w:t xml:space="preserve">PDF </w:t>
      </w:r>
      <w:r w:rsidR="006F3555" w:rsidRPr="00D15CB5">
        <w:rPr>
          <w:rFonts w:ascii="Arial" w:hAnsi="Arial" w:cs="Arial"/>
          <w:sz w:val="22"/>
          <w:szCs w:val="22"/>
        </w:rPr>
        <w:t>format</w:t>
      </w:r>
      <w:r w:rsidR="00C06B16" w:rsidRPr="00D15CB5">
        <w:rPr>
          <w:rFonts w:ascii="Arial" w:hAnsi="Arial" w:cs="Arial"/>
          <w:sz w:val="22"/>
          <w:szCs w:val="22"/>
        </w:rPr>
        <w:t xml:space="preserve"> </w:t>
      </w:r>
      <w:r w:rsidR="008801C9" w:rsidRPr="00D15CB5">
        <w:rPr>
          <w:rFonts w:ascii="Arial" w:hAnsi="Arial" w:cs="Arial"/>
          <w:sz w:val="22"/>
          <w:szCs w:val="22"/>
        </w:rPr>
        <w:t xml:space="preserve">via </w:t>
      </w:r>
      <w:r w:rsidR="00AF2344">
        <w:rPr>
          <w:rFonts w:ascii="Arial" w:hAnsi="Arial" w:cs="Arial"/>
          <w:sz w:val="22"/>
          <w:szCs w:val="22"/>
        </w:rPr>
        <w:t>eLearning</w:t>
      </w:r>
      <w:r w:rsidR="00734CD7">
        <w:rPr>
          <w:rFonts w:ascii="Arial" w:hAnsi="Arial" w:cs="Arial"/>
          <w:sz w:val="22"/>
          <w:szCs w:val="22"/>
        </w:rPr>
        <w:t xml:space="preserve"> / Canvas</w:t>
      </w:r>
      <w:r w:rsidR="002F7593" w:rsidRPr="00D15CB5">
        <w:rPr>
          <w:rFonts w:ascii="Arial" w:hAnsi="Arial" w:cs="Arial"/>
          <w:sz w:val="22"/>
          <w:szCs w:val="22"/>
        </w:rPr>
        <w:t xml:space="preserve">. </w:t>
      </w:r>
      <w:r w:rsidR="000515CE">
        <w:rPr>
          <w:rFonts w:ascii="Arial" w:hAnsi="Arial" w:cs="Arial"/>
          <w:sz w:val="22"/>
          <w:szCs w:val="22"/>
        </w:rPr>
        <w:t>Case Studies in Immunology, 7</w:t>
      </w:r>
      <w:r w:rsidR="000515CE" w:rsidRPr="000515CE">
        <w:rPr>
          <w:rFonts w:ascii="Arial" w:hAnsi="Arial" w:cs="Arial"/>
          <w:sz w:val="22"/>
          <w:szCs w:val="22"/>
          <w:vertAlign w:val="superscript"/>
        </w:rPr>
        <w:t>th</w:t>
      </w:r>
      <w:r w:rsidR="000515CE">
        <w:rPr>
          <w:rFonts w:ascii="Arial" w:hAnsi="Arial" w:cs="Arial"/>
          <w:sz w:val="22"/>
          <w:szCs w:val="22"/>
        </w:rPr>
        <w:t xml:space="preserve"> Edition (Garland Science, ISBN 978-0-8153-4512-1). </w:t>
      </w:r>
      <w:r w:rsidR="00734CD7">
        <w:rPr>
          <w:rFonts w:ascii="Arial" w:hAnsi="Arial" w:cs="Arial"/>
          <w:sz w:val="22"/>
          <w:szCs w:val="22"/>
        </w:rPr>
        <w:t>Janeway’s Immunobiology 7</w:t>
      </w:r>
      <w:r w:rsidR="00734CD7" w:rsidRPr="00734CD7">
        <w:rPr>
          <w:rFonts w:ascii="Arial" w:hAnsi="Arial" w:cs="Arial"/>
          <w:sz w:val="22"/>
          <w:szCs w:val="22"/>
          <w:vertAlign w:val="superscript"/>
        </w:rPr>
        <w:t>th</w:t>
      </w:r>
      <w:r w:rsidR="00734CD7">
        <w:rPr>
          <w:rFonts w:ascii="Arial" w:hAnsi="Arial" w:cs="Arial"/>
          <w:sz w:val="22"/>
          <w:szCs w:val="22"/>
        </w:rPr>
        <w:t>-9</w:t>
      </w:r>
      <w:r w:rsidR="00734CD7" w:rsidRPr="00734CD7">
        <w:rPr>
          <w:rFonts w:ascii="Arial" w:hAnsi="Arial" w:cs="Arial"/>
          <w:sz w:val="22"/>
          <w:szCs w:val="22"/>
          <w:vertAlign w:val="superscript"/>
        </w:rPr>
        <w:t>th</w:t>
      </w:r>
      <w:r w:rsidR="00734CD7">
        <w:rPr>
          <w:rFonts w:ascii="Arial" w:hAnsi="Arial" w:cs="Arial"/>
          <w:sz w:val="22"/>
          <w:szCs w:val="22"/>
        </w:rPr>
        <w:t xml:space="preserve"> edition may be helpful for additional reading</w:t>
      </w:r>
      <w:r w:rsidR="006C11E0" w:rsidRPr="00D15CB5">
        <w:rPr>
          <w:rFonts w:ascii="Arial" w:hAnsi="Arial" w:cs="Arial"/>
          <w:sz w:val="22"/>
          <w:szCs w:val="22"/>
        </w:rPr>
        <w:t>.</w:t>
      </w:r>
      <w:r w:rsidR="00753E6A" w:rsidRPr="00D15CB5">
        <w:rPr>
          <w:rFonts w:ascii="Arial" w:hAnsi="Arial" w:cs="Arial"/>
          <w:sz w:val="22"/>
          <w:szCs w:val="22"/>
        </w:rPr>
        <w:t xml:space="preserve"> </w:t>
      </w:r>
      <w:r w:rsidR="00734CD7">
        <w:rPr>
          <w:rFonts w:ascii="Arial" w:hAnsi="Arial" w:cs="Arial"/>
          <w:sz w:val="22"/>
          <w:szCs w:val="22"/>
        </w:rPr>
        <w:t>Students will be expected to read assigned reading and be prepared to discuss papers or case studies for each session</w:t>
      </w:r>
      <w:r w:rsidR="00123FD6">
        <w:rPr>
          <w:rFonts w:ascii="Arial" w:hAnsi="Arial" w:cs="Arial"/>
          <w:bCs/>
          <w:sz w:val="22"/>
          <w:szCs w:val="22"/>
        </w:rPr>
        <w:t xml:space="preserve">. </w:t>
      </w:r>
      <w:r w:rsidR="00734CD7">
        <w:rPr>
          <w:rFonts w:ascii="Arial" w:hAnsi="Arial" w:cs="Arial"/>
          <w:bCs/>
          <w:sz w:val="22"/>
          <w:szCs w:val="22"/>
        </w:rPr>
        <w:t>In general, Mondays will be dedicated to didactic lecture by the instructor, Wednesdays will include literature discussion and Fridays will focus on case studies</w:t>
      </w:r>
      <w:r w:rsidR="00826FBA">
        <w:rPr>
          <w:rFonts w:ascii="Arial" w:hAnsi="Arial" w:cs="Arial"/>
          <w:bCs/>
          <w:sz w:val="22"/>
          <w:szCs w:val="22"/>
        </w:rPr>
        <w:t>.</w:t>
      </w:r>
    </w:p>
    <w:p w14:paraId="2527C68C" w14:textId="301D599A" w:rsidR="0035474C" w:rsidRDefault="00B221D1" w:rsidP="0035474C">
      <w:pPr>
        <w:widowControl w:val="0"/>
        <w:autoSpaceDE w:val="0"/>
        <w:autoSpaceDN w:val="0"/>
        <w:adjustRightInd w:val="0"/>
        <w:rPr>
          <w:rFonts w:ascii="Arial" w:hAnsi="Arial" w:cs="Arial"/>
          <w:sz w:val="22"/>
          <w:szCs w:val="22"/>
          <w:u w:val="single"/>
        </w:rPr>
      </w:pPr>
      <w:r w:rsidRPr="00D15CB5">
        <w:rPr>
          <w:rFonts w:ascii="Arial" w:hAnsi="Arial" w:cs="Arial"/>
          <w:sz w:val="22"/>
          <w:szCs w:val="22"/>
          <w:u w:val="single"/>
        </w:rPr>
        <w:t>Course schedule</w:t>
      </w:r>
      <w:r w:rsidR="00CD1E14">
        <w:rPr>
          <w:rFonts w:ascii="Arial" w:hAnsi="Arial" w:cs="Arial"/>
          <w:sz w:val="22"/>
          <w:szCs w:val="22"/>
          <w:u w:val="single"/>
        </w:rPr>
        <w:t xml:space="preserve"> (5 weeks, </w:t>
      </w:r>
      <w:r w:rsidR="00734CD7">
        <w:rPr>
          <w:rFonts w:ascii="Arial" w:hAnsi="Arial" w:cs="Arial"/>
          <w:sz w:val="22"/>
          <w:szCs w:val="22"/>
          <w:u w:val="single"/>
        </w:rPr>
        <w:t>15</w:t>
      </w:r>
      <w:r w:rsidR="00CD1E14">
        <w:rPr>
          <w:rFonts w:ascii="Arial" w:hAnsi="Arial" w:cs="Arial"/>
          <w:sz w:val="22"/>
          <w:szCs w:val="22"/>
          <w:u w:val="single"/>
        </w:rPr>
        <w:t xml:space="preserve"> </w:t>
      </w:r>
      <w:r w:rsidR="00710D2D">
        <w:rPr>
          <w:rFonts w:ascii="Arial" w:hAnsi="Arial" w:cs="Arial"/>
          <w:sz w:val="22"/>
          <w:szCs w:val="22"/>
          <w:u w:val="single"/>
        </w:rPr>
        <w:t>sessions</w:t>
      </w:r>
      <w:r w:rsidR="00CD1E14">
        <w:rPr>
          <w:rFonts w:ascii="Arial" w:hAnsi="Arial" w:cs="Arial"/>
          <w:sz w:val="22"/>
          <w:szCs w:val="22"/>
          <w:u w:val="single"/>
        </w:rPr>
        <w:t xml:space="preserve"> of 1</w:t>
      </w:r>
      <w:r w:rsidR="00734CD7">
        <w:rPr>
          <w:rFonts w:ascii="Arial" w:hAnsi="Arial" w:cs="Arial"/>
          <w:sz w:val="22"/>
          <w:szCs w:val="22"/>
          <w:u w:val="single"/>
        </w:rPr>
        <w:t xml:space="preserve"> </w:t>
      </w:r>
      <w:r w:rsidR="00CD1E14">
        <w:rPr>
          <w:rFonts w:ascii="Arial" w:hAnsi="Arial" w:cs="Arial"/>
          <w:sz w:val="22"/>
          <w:szCs w:val="22"/>
          <w:u w:val="single"/>
        </w:rPr>
        <w:t xml:space="preserve"> hour)</w:t>
      </w:r>
      <w:r w:rsidRPr="00D15CB5">
        <w:rPr>
          <w:rFonts w:ascii="Arial" w:hAnsi="Arial" w:cs="Arial"/>
          <w:sz w:val="22"/>
          <w:szCs w:val="22"/>
          <w:u w:val="single"/>
        </w:rPr>
        <w:t>:</w:t>
      </w:r>
    </w:p>
    <w:p w14:paraId="4C8ADFBA" w14:textId="3D41C3E9" w:rsidR="0004150E" w:rsidRPr="0004150E" w:rsidRDefault="0004150E" w:rsidP="0035474C">
      <w:pPr>
        <w:widowControl w:val="0"/>
        <w:autoSpaceDE w:val="0"/>
        <w:autoSpaceDN w:val="0"/>
        <w:adjustRightInd w:val="0"/>
        <w:rPr>
          <w:rFonts w:ascii="Arial" w:hAnsi="Arial" w:cs="Arial"/>
          <w:i/>
          <w:sz w:val="22"/>
          <w:szCs w:val="22"/>
        </w:rPr>
      </w:pPr>
      <w:r>
        <w:rPr>
          <w:rFonts w:ascii="Arial" w:hAnsi="Arial" w:cs="Arial"/>
          <w:i/>
          <w:sz w:val="22"/>
          <w:szCs w:val="22"/>
        </w:rPr>
        <w:t>Please note that the class must begin promptly at 10:30am each day because there is a lot of material to cover. Any students presenting slides for a given session should arrive sufficiently early to load slides on the computer. The instructor will be present at least 10 minutes before each session to accommodate this process.</w:t>
      </w:r>
    </w:p>
    <w:p w14:paraId="47FF2912" w14:textId="77777777" w:rsidR="00435189" w:rsidRDefault="00435189" w:rsidP="0035474C">
      <w:pPr>
        <w:widowControl w:val="0"/>
        <w:autoSpaceDE w:val="0"/>
        <w:autoSpaceDN w:val="0"/>
        <w:adjustRightInd w:val="0"/>
        <w:rPr>
          <w:rFonts w:ascii="Arial" w:hAnsi="Arial" w:cs="Arial"/>
          <w:b/>
          <w:bCs/>
          <w:sz w:val="22"/>
          <w:szCs w:val="22"/>
        </w:rPr>
      </w:pPr>
    </w:p>
    <w:p w14:paraId="0711A2E6" w14:textId="7D695EC1" w:rsidR="00B221D1" w:rsidRPr="00D15CB5" w:rsidRDefault="00B221D1" w:rsidP="0035474C">
      <w:pPr>
        <w:widowControl w:val="0"/>
        <w:autoSpaceDE w:val="0"/>
        <w:autoSpaceDN w:val="0"/>
        <w:adjustRightInd w:val="0"/>
        <w:rPr>
          <w:rFonts w:ascii="Arial" w:hAnsi="Arial" w:cs="Arial"/>
          <w:b/>
          <w:bCs/>
          <w:sz w:val="22"/>
          <w:szCs w:val="22"/>
        </w:rPr>
      </w:pPr>
      <w:r w:rsidRPr="00D15CB5">
        <w:rPr>
          <w:rFonts w:ascii="Arial" w:hAnsi="Arial" w:cs="Arial"/>
          <w:b/>
          <w:bCs/>
          <w:sz w:val="22"/>
          <w:szCs w:val="22"/>
        </w:rPr>
        <w:t>Week 1</w:t>
      </w:r>
      <w:r w:rsidR="00697975">
        <w:rPr>
          <w:rFonts w:ascii="Arial" w:hAnsi="Arial" w:cs="Arial"/>
          <w:b/>
          <w:bCs/>
          <w:sz w:val="22"/>
          <w:szCs w:val="22"/>
        </w:rPr>
        <w:t xml:space="preserve"> (overview</w:t>
      </w:r>
      <w:r w:rsidR="00DF13D6">
        <w:rPr>
          <w:rFonts w:ascii="Arial" w:hAnsi="Arial" w:cs="Arial"/>
          <w:b/>
          <w:bCs/>
          <w:sz w:val="22"/>
          <w:szCs w:val="22"/>
        </w:rPr>
        <w:t xml:space="preserve"> / innate sensing mechanism</w:t>
      </w:r>
      <w:r w:rsidR="00697975">
        <w:rPr>
          <w:rFonts w:ascii="Arial" w:hAnsi="Arial" w:cs="Arial"/>
          <w:b/>
          <w:bCs/>
          <w:sz w:val="22"/>
          <w:szCs w:val="22"/>
        </w:rPr>
        <w:t>)</w:t>
      </w:r>
      <w:r w:rsidRPr="00D15CB5">
        <w:rPr>
          <w:rFonts w:ascii="Arial" w:hAnsi="Arial" w:cs="Arial"/>
          <w:b/>
          <w:bCs/>
          <w:sz w:val="22"/>
          <w:szCs w:val="22"/>
        </w:rPr>
        <w:t>:</w:t>
      </w:r>
    </w:p>
    <w:p w14:paraId="3C4567F8" w14:textId="77777777" w:rsidR="00B221D1" w:rsidRPr="00D15CB5" w:rsidRDefault="00B221D1" w:rsidP="0035474C">
      <w:pPr>
        <w:widowControl w:val="0"/>
        <w:autoSpaceDE w:val="0"/>
        <w:autoSpaceDN w:val="0"/>
        <w:adjustRightInd w:val="0"/>
        <w:rPr>
          <w:rFonts w:ascii="Arial" w:hAnsi="Arial" w:cs="Arial"/>
          <w:b/>
          <w:bCs/>
          <w:sz w:val="22"/>
          <w:szCs w:val="22"/>
        </w:rPr>
      </w:pPr>
    </w:p>
    <w:p w14:paraId="5E7770E9" w14:textId="5AA231A1" w:rsidR="00697975" w:rsidRDefault="00CD1E14" w:rsidP="0035474C">
      <w:pPr>
        <w:pStyle w:val="ListParagraph"/>
        <w:widowControl w:val="0"/>
        <w:numPr>
          <w:ilvl w:val="0"/>
          <w:numId w:val="3"/>
        </w:numPr>
        <w:autoSpaceDE w:val="0"/>
        <w:autoSpaceDN w:val="0"/>
        <w:adjustRightInd w:val="0"/>
        <w:rPr>
          <w:rFonts w:ascii="Arial" w:hAnsi="Arial" w:cs="Arial"/>
          <w:bCs/>
          <w:sz w:val="22"/>
          <w:szCs w:val="22"/>
        </w:rPr>
      </w:pPr>
      <w:r w:rsidRPr="000104BB">
        <w:rPr>
          <w:rFonts w:ascii="Arial" w:hAnsi="Arial" w:cs="Arial"/>
          <w:bCs/>
          <w:sz w:val="22"/>
          <w:szCs w:val="22"/>
        </w:rPr>
        <w:t xml:space="preserve">Session 1 </w:t>
      </w:r>
      <w:r w:rsidR="00FA18F6">
        <w:rPr>
          <w:rFonts w:ascii="Arial" w:hAnsi="Arial" w:cs="Arial"/>
          <w:bCs/>
          <w:sz w:val="22"/>
          <w:szCs w:val="22"/>
        </w:rPr>
        <w:t>–</w:t>
      </w:r>
      <w:r w:rsidRPr="000104BB">
        <w:rPr>
          <w:rFonts w:ascii="Arial" w:hAnsi="Arial" w:cs="Arial"/>
          <w:bCs/>
          <w:sz w:val="22"/>
          <w:szCs w:val="22"/>
        </w:rPr>
        <w:t xml:space="preserve"> </w:t>
      </w:r>
      <w:r w:rsidR="00552884">
        <w:rPr>
          <w:rFonts w:ascii="Arial" w:hAnsi="Arial" w:cs="Arial"/>
          <w:bCs/>
          <w:sz w:val="22"/>
          <w:szCs w:val="22"/>
        </w:rPr>
        <w:t>Wed</w:t>
      </w:r>
      <w:r w:rsidR="00FA18F6">
        <w:rPr>
          <w:rFonts w:ascii="Arial" w:hAnsi="Arial" w:cs="Arial"/>
          <w:bCs/>
          <w:sz w:val="22"/>
          <w:szCs w:val="22"/>
        </w:rPr>
        <w:t xml:space="preserve"> 8/2</w:t>
      </w:r>
      <w:r w:rsidR="00790172">
        <w:rPr>
          <w:rFonts w:ascii="Arial" w:hAnsi="Arial" w:cs="Arial"/>
          <w:bCs/>
          <w:sz w:val="22"/>
          <w:szCs w:val="22"/>
        </w:rPr>
        <w:t>2</w:t>
      </w:r>
      <w:r w:rsidR="00FA18F6">
        <w:rPr>
          <w:rFonts w:ascii="Arial" w:hAnsi="Arial" w:cs="Arial"/>
          <w:bCs/>
          <w:sz w:val="22"/>
          <w:szCs w:val="22"/>
        </w:rPr>
        <w:t>/201</w:t>
      </w:r>
      <w:r w:rsidR="00552884">
        <w:rPr>
          <w:rFonts w:ascii="Arial" w:hAnsi="Arial" w:cs="Arial"/>
          <w:bCs/>
          <w:sz w:val="22"/>
          <w:szCs w:val="22"/>
        </w:rPr>
        <w:t>8</w:t>
      </w:r>
      <w:r w:rsidR="006A53D6">
        <w:rPr>
          <w:rFonts w:ascii="Arial" w:hAnsi="Arial" w:cs="Arial"/>
          <w:bCs/>
          <w:sz w:val="22"/>
          <w:szCs w:val="22"/>
        </w:rPr>
        <w:t xml:space="preserve"> (Wallet lecture)</w:t>
      </w:r>
    </w:p>
    <w:p w14:paraId="09C5D170" w14:textId="05006100" w:rsidR="006A53D6" w:rsidRPr="00707713" w:rsidRDefault="006A53D6" w:rsidP="006A53D6">
      <w:pPr>
        <w:pStyle w:val="ListParagraph"/>
        <w:widowControl w:val="0"/>
        <w:numPr>
          <w:ilvl w:val="1"/>
          <w:numId w:val="3"/>
        </w:numPr>
        <w:autoSpaceDE w:val="0"/>
        <w:autoSpaceDN w:val="0"/>
        <w:adjustRightInd w:val="0"/>
        <w:rPr>
          <w:rFonts w:ascii="Arial" w:hAnsi="Arial" w:cs="Arial"/>
          <w:bCs/>
          <w:sz w:val="18"/>
          <w:szCs w:val="22"/>
        </w:rPr>
      </w:pPr>
      <w:r w:rsidRPr="00707713">
        <w:rPr>
          <w:rFonts w:ascii="Arial" w:hAnsi="Arial" w:cs="Arial"/>
          <w:bCs/>
          <w:sz w:val="18"/>
          <w:szCs w:val="22"/>
        </w:rPr>
        <w:t>Innate immunology overview</w:t>
      </w:r>
    </w:p>
    <w:p w14:paraId="1778356F" w14:textId="7F77F351" w:rsidR="006A53D6" w:rsidRPr="00707713" w:rsidRDefault="006A53D6" w:rsidP="006A53D6">
      <w:pPr>
        <w:pStyle w:val="ListParagraph"/>
        <w:widowControl w:val="0"/>
        <w:numPr>
          <w:ilvl w:val="1"/>
          <w:numId w:val="3"/>
        </w:numPr>
        <w:autoSpaceDE w:val="0"/>
        <w:autoSpaceDN w:val="0"/>
        <w:adjustRightInd w:val="0"/>
        <w:rPr>
          <w:rFonts w:ascii="Arial" w:hAnsi="Arial" w:cs="Arial"/>
          <w:bCs/>
          <w:sz w:val="18"/>
          <w:szCs w:val="22"/>
        </w:rPr>
      </w:pPr>
      <w:r w:rsidRPr="00707713">
        <w:rPr>
          <w:rFonts w:ascii="Arial" w:hAnsi="Arial" w:cs="Arial"/>
          <w:bCs/>
          <w:sz w:val="18"/>
          <w:szCs w:val="22"/>
        </w:rPr>
        <w:t>Innate sensing via pattern recognition receptors</w:t>
      </w:r>
    </w:p>
    <w:p w14:paraId="79A6A6D5" w14:textId="77777777" w:rsidR="006A53D6" w:rsidRPr="006A53D6" w:rsidRDefault="006A53D6" w:rsidP="006A53D6">
      <w:pPr>
        <w:pStyle w:val="ListParagraph"/>
        <w:widowControl w:val="0"/>
        <w:autoSpaceDE w:val="0"/>
        <w:autoSpaceDN w:val="0"/>
        <w:adjustRightInd w:val="0"/>
        <w:ind w:left="1440"/>
        <w:rPr>
          <w:rFonts w:ascii="Arial" w:hAnsi="Arial" w:cs="Arial"/>
          <w:bCs/>
          <w:sz w:val="22"/>
          <w:szCs w:val="22"/>
        </w:rPr>
      </w:pPr>
    </w:p>
    <w:p w14:paraId="5730575E" w14:textId="3B069F10" w:rsidR="00707713" w:rsidRDefault="00CD1E14" w:rsidP="00707713">
      <w:pPr>
        <w:pStyle w:val="ListParagraph"/>
        <w:widowControl w:val="0"/>
        <w:numPr>
          <w:ilvl w:val="0"/>
          <w:numId w:val="3"/>
        </w:numPr>
        <w:autoSpaceDE w:val="0"/>
        <w:autoSpaceDN w:val="0"/>
        <w:adjustRightInd w:val="0"/>
        <w:rPr>
          <w:rFonts w:ascii="Arial" w:hAnsi="Arial" w:cs="Arial"/>
          <w:bCs/>
          <w:sz w:val="22"/>
          <w:szCs w:val="22"/>
        </w:rPr>
      </w:pPr>
      <w:r w:rsidRPr="000104BB">
        <w:rPr>
          <w:rFonts w:ascii="Arial" w:hAnsi="Arial" w:cs="Arial"/>
          <w:bCs/>
          <w:sz w:val="22"/>
          <w:szCs w:val="22"/>
        </w:rPr>
        <w:t xml:space="preserve">Session 2 </w:t>
      </w:r>
      <w:r w:rsidR="00FA18F6">
        <w:rPr>
          <w:rFonts w:ascii="Arial" w:hAnsi="Arial" w:cs="Arial"/>
          <w:bCs/>
          <w:sz w:val="22"/>
          <w:szCs w:val="22"/>
        </w:rPr>
        <w:t>–</w:t>
      </w:r>
      <w:r w:rsidRPr="000104BB">
        <w:rPr>
          <w:rFonts w:ascii="Arial" w:hAnsi="Arial" w:cs="Arial"/>
          <w:bCs/>
          <w:sz w:val="22"/>
          <w:szCs w:val="22"/>
        </w:rPr>
        <w:t xml:space="preserve"> </w:t>
      </w:r>
      <w:r w:rsidR="00552884">
        <w:rPr>
          <w:rFonts w:ascii="Arial" w:hAnsi="Arial" w:cs="Arial"/>
          <w:bCs/>
          <w:sz w:val="22"/>
          <w:szCs w:val="22"/>
        </w:rPr>
        <w:t>Fri</w:t>
      </w:r>
      <w:r w:rsidR="00FA18F6">
        <w:rPr>
          <w:rFonts w:ascii="Arial" w:hAnsi="Arial" w:cs="Arial"/>
          <w:bCs/>
          <w:sz w:val="22"/>
          <w:szCs w:val="22"/>
        </w:rPr>
        <w:t xml:space="preserve"> 8/2</w:t>
      </w:r>
      <w:r w:rsidR="006A53D6">
        <w:rPr>
          <w:rFonts w:ascii="Arial" w:hAnsi="Arial" w:cs="Arial"/>
          <w:bCs/>
          <w:sz w:val="22"/>
          <w:szCs w:val="22"/>
        </w:rPr>
        <w:t>4</w:t>
      </w:r>
      <w:r w:rsidR="00FA18F6">
        <w:rPr>
          <w:rFonts w:ascii="Arial" w:hAnsi="Arial" w:cs="Arial"/>
          <w:bCs/>
          <w:sz w:val="22"/>
          <w:szCs w:val="22"/>
        </w:rPr>
        <w:t>/201</w:t>
      </w:r>
      <w:r w:rsidR="00552884">
        <w:rPr>
          <w:rFonts w:ascii="Arial" w:hAnsi="Arial" w:cs="Arial"/>
          <w:bCs/>
          <w:sz w:val="22"/>
          <w:szCs w:val="22"/>
        </w:rPr>
        <w:t>8</w:t>
      </w:r>
      <w:r w:rsidR="00707713">
        <w:rPr>
          <w:rFonts w:ascii="Arial" w:hAnsi="Arial" w:cs="Arial"/>
          <w:bCs/>
          <w:sz w:val="22"/>
          <w:szCs w:val="22"/>
        </w:rPr>
        <w:t xml:space="preserve"> (Literature discussion – student led)</w:t>
      </w:r>
    </w:p>
    <w:p w14:paraId="179A42F6" w14:textId="17CB7FEF" w:rsidR="00707713" w:rsidRPr="00707713" w:rsidRDefault="00F349FD" w:rsidP="00707713">
      <w:pPr>
        <w:pStyle w:val="ListParagraph"/>
        <w:widowControl w:val="0"/>
        <w:numPr>
          <w:ilvl w:val="1"/>
          <w:numId w:val="3"/>
        </w:numPr>
        <w:autoSpaceDE w:val="0"/>
        <w:autoSpaceDN w:val="0"/>
        <w:adjustRightInd w:val="0"/>
        <w:rPr>
          <w:rFonts w:ascii="Arial" w:hAnsi="Arial" w:cs="Arial"/>
          <w:bCs/>
          <w:sz w:val="28"/>
          <w:szCs w:val="22"/>
        </w:rPr>
      </w:pPr>
      <w:r w:rsidRPr="00707713">
        <w:rPr>
          <w:rFonts w:ascii="Arial" w:hAnsi="Arial" w:cs="Arial"/>
          <w:bCs/>
          <w:sz w:val="18"/>
          <w:szCs w:val="18"/>
        </w:rPr>
        <w:t xml:space="preserve">Rock, et al. A family of human receptors structurally related to Drosophila Toll [PMID </w:t>
      </w:r>
      <w:r w:rsidRPr="00707713">
        <w:rPr>
          <w:rFonts w:ascii="Arial" w:hAnsi="Arial" w:cs="Arial"/>
          <w:bCs/>
          <w:sz w:val="18"/>
          <w:szCs w:val="18"/>
        </w:rPr>
        <w:tab/>
        <w:t>9435236]</w:t>
      </w:r>
      <w:r w:rsidR="00707713">
        <w:rPr>
          <w:rFonts w:ascii="Arial" w:hAnsi="Arial" w:cs="Arial"/>
          <w:bCs/>
          <w:sz w:val="18"/>
          <w:szCs w:val="18"/>
        </w:rPr>
        <w:t xml:space="preserve"> </w:t>
      </w:r>
      <w:r w:rsidR="00707713" w:rsidRPr="00707713">
        <w:rPr>
          <w:rFonts w:ascii="Arial" w:hAnsi="Arial" w:cs="Arial"/>
          <w:bCs/>
          <w:sz w:val="18"/>
          <w:szCs w:val="18"/>
          <w:highlight w:val="green"/>
        </w:rPr>
        <w:t>(Independent reading)</w:t>
      </w:r>
    </w:p>
    <w:p w14:paraId="7D106C0D" w14:textId="3C0C0649" w:rsidR="00707713" w:rsidRPr="00707713" w:rsidRDefault="00F349FD" w:rsidP="00707713">
      <w:pPr>
        <w:pStyle w:val="ListParagraph"/>
        <w:widowControl w:val="0"/>
        <w:numPr>
          <w:ilvl w:val="1"/>
          <w:numId w:val="3"/>
        </w:numPr>
        <w:autoSpaceDE w:val="0"/>
        <w:autoSpaceDN w:val="0"/>
        <w:adjustRightInd w:val="0"/>
        <w:rPr>
          <w:rFonts w:ascii="Arial" w:hAnsi="Arial" w:cs="Arial"/>
          <w:bCs/>
          <w:sz w:val="28"/>
          <w:szCs w:val="22"/>
        </w:rPr>
      </w:pPr>
      <w:r w:rsidRPr="00707713">
        <w:rPr>
          <w:rFonts w:ascii="Arial" w:hAnsi="Arial" w:cs="Arial"/>
          <w:bCs/>
          <w:sz w:val="18"/>
          <w:szCs w:val="18"/>
        </w:rPr>
        <w:t xml:space="preserve">Medzhitov, et al. A human homologue of the Drosophila Toll protein signals activation of </w:t>
      </w:r>
      <w:r w:rsidRPr="00707713">
        <w:rPr>
          <w:rFonts w:ascii="Arial" w:hAnsi="Arial" w:cs="Arial"/>
          <w:bCs/>
          <w:sz w:val="18"/>
          <w:szCs w:val="18"/>
        </w:rPr>
        <w:tab/>
        <w:t>adaptive immunity</w:t>
      </w:r>
      <w:r w:rsidR="00707713" w:rsidRPr="00707713">
        <w:rPr>
          <w:rFonts w:ascii="Arial" w:hAnsi="Arial" w:cs="Arial"/>
          <w:bCs/>
          <w:sz w:val="18"/>
          <w:szCs w:val="18"/>
        </w:rPr>
        <w:t xml:space="preserve"> [PMID 9237759]</w:t>
      </w:r>
      <w:r w:rsidR="00707713">
        <w:rPr>
          <w:rFonts w:ascii="Arial" w:hAnsi="Arial" w:cs="Arial"/>
          <w:bCs/>
          <w:sz w:val="18"/>
          <w:szCs w:val="18"/>
        </w:rPr>
        <w:t xml:space="preserve"> </w:t>
      </w:r>
      <w:r w:rsidR="00707713" w:rsidRPr="00707713">
        <w:rPr>
          <w:rFonts w:ascii="Arial" w:hAnsi="Arial" w:cs="Arial"/>
          <w:bCs/>
          <w:sz w:val="18"/>
          <w:szCs w:val="18"/>
          <w:highlight w:val="cyan"/>
        </w:rPr>
        <w:t>(Student led)</w:t>
      </w:r>
    </w:p>
    <w:p w14:paraId="6E3514D0" w14:textId="225A2838" w:rsidR="00F349FD" w:rsidRPr="00707713" w:rsidRDefault="00F349FD" w:rsidP="00707713">
      <w:pPr>
        <w:pStyle w:val="ListParagraph"/>
        <w:widowControl w:val="0"/>
        <w:numPr>
          <w:ilvl w:val="1"/>
          <w:numId w:val="3"/>
        </w:numPr>
        <w:autoSpaceDE w:val="0"/>
        <w:autoSpaceDN w:val="0"/>
        <w:adjustRightInd w:val="0"/>
        <w:rPr>
          <w:rFonts w:ascii="Arial" w:hAnsi="Arial" w:cs="Arial"/>
          <w:bCs/>
          <w:sz w:val="28"/>
          <w:szCs w:val="22"/>
        </w:rPr>
      </w:pPr>
      <w:r w:rsidRPr="00707713">
        <w:rPr>
          <w:rFonts w:ascii="Arial" w:hAnsi="Arial" w:cs="Arial"/>
          <w:bCs/>
          <w:sz w:val="18"/>
          <w:szCs w:val="18"/>
        </w:rPr>
        <w:t xml:space="preserve">Poltorak, et al. Defective LPS signaling in C3H/HeJ and C57BL/10ScCr mice: mutations in </w:t>
      </w:r>
      <w:r w:rsidRPr="00707713">
        <w:rPr>
          <w:rFonts w:ascii="Arial" w:hAnsi="Arial" w:cs="Arial"/>
          <w:bCs/>
          <w:sz w:val="18"/>
          <w:szCs w:val="18"/>
        </w:rPr>
        <w:tab/>
        <w:t>Tlr4 gene [PMID 9851930]</w:t>
      </w:r>
      <w:r w:rsidR="00707713">
        <w:rPr>
          <w:rFonts w:ascii="Arial" w:hAnsi="Arial" w:cs="Arial"/>
          <w:bCs/>
          <w:sz w:val="18"/>
          <w:szCs w:val="18"/>
        </w:rPr>
        <w:t xml:space="preserve"> </w:t>
      </w:r>
      <w:r w:rsidR="00707713" w:rsidRPr="00707713">
        <w:rPr>
          <w:rFonts w:ascii="Arial" w:hAnsi="Arial" w:cs="Arial"/>
          <w:bCs/>
          <w:sz w:val="18"/>
          <w:szCs w:val="18"/>
          <w:highlight w:val="cyan"/>
        </w:rPr>
        <w:t>(Student led)</w:t>
      </w:r>
    </w:p>
    <w:p w14:paraId="0C05D90A" w14:textId="3AFEEF09" w:rsidR="00707713" w:rsidRPr="00707713" w:rsidRDefault="00707713" w:rsidP="00707713">
      <w:pPr>
        <w:pStyle w:val="ListParagraph"/>
        <w:widowControl w:val="0"/>
        <w:numPr>
          <w:ilvl w:val="0"/>
          <w:numId w:val="3"/>
        </w:numPr>
        <w:autoSpaceDE w:val="0"/>
        <w:autoSpaceDN w:val="0"/>
        <w:adjustRightInd w:val="0"/>
        <w:rPr>
          <w:rFonts w:ascii="Arial" w:hAnsi="Arial" w:cs="Arial"/>
          <w:bCs/>
          <w:sz w:val="36"/>
          <w:szCs w:val="22"/>
        </w:rPr>
      </w:pPr>
      <w:r w:rsidRPr="00707713">
        <w:rPr>
          <w:rFonts w:ascii="Arial" w:hAnsi="Arial" w:cs="Arial"/>
          <w:bCs/>
          <w:sz w:val="22"/>
          <w:szCs w:val="18"/>
        </w:rPr>
        <w:t>Session 3</w:t>
      </w:r>
      <w:r>
        <w:rPr>
          <w:rFonts w:ascii="Arial" w:hAnsi="Arial" w:cs="Arial"/>
          <w:bCs/>
          <w:sz w:val="22"/>
          <w:szCs w:val="18"/>
        </w:rPr>
        <w:t xml:space="preserve"> – </w:t>
      </w:r>
      <w:r w:rsidR="00552884">
        <w:rPr>
          <w:rFonts w:ascii="Arial" w:hAnsi="Arial" w:cs="Arial"/>
          <w:bCs/>
          <w:sz w:val="22"/>
          <w:szCs w:val="18"/>
        </w:rPr>
        <w:t>Mon</w:t>
      </w:r>
      <w:r>
        <w:rPr>
          <w:rFonts w:ascii="Arial" w:hAnsi="Arial" w:cs="Arial"/>
          <w:bCs/>
          <w:sz w:val="22"/>
          <w:szCs w:val="18"/>
        </w:rPr>
        <w:t xml:space="preserve"> 8/2</w:t>
      </w:r>
      <w:r w:rsidR="00552884">
        <w:rPr>
          <w:rFonts w:ascii="Arial" w:hAnsi="Arial" w:cs="Arial"/>
          <w:bCs/>
          <w:sz w:val="22"/>
          <w:szCs w:val="18"/>
        </w:rPr>
        <w:t>7</w:t>
      </w:r>
      <w:r>
        <w:rPr>
          <w:rFonts w:ascii="Arial" w:hAnsi="Arial" w:cs="Arial"/>
          <w:bCs/>
          <w:sz w:val="22"/>
          <w:szCs w:val="18"/>
        </w:rPr>
        <w:t>/201</w:t>
      </w:r>
      <w:r w:rsidR="00552884">
        <w:rPr>
          <w:rFonts w:ascii="Arial" w:hAnsi="Arial" w:cs="Arial"/>
          <w:bCs/>
          <w:sz w:val="22"/>
          <w:szCs w:val="18"/>
        </w:rPr>
        <w:t>8</w:t>
      </w:r>
      <w:r>
        <w:rPr>
          <w:rFonts w:ascii="Arial" w:hAnsi="Arial" w:cs="Arial"/>
          <w:bCs/>
          <w:sz w:val="22"/>
          <w:szCs w:val="18"/>
        </w:rPr>
        <w:t xml:space="preserve"> (Case studies – student led)</w:t>
      </w:r>
    </w:p>
    <w:p w14:paraId="3084982C" w14:textId="42EA6465" w:rsidR="00707713" w:rsidRPr="00707713" w:rsidRDefault="00707713" w:rsidP="00707713">
      <w:pPr>
        <w:pStyle w:val="ListParagraph"/>
        <w:widowControl w:val="0"/>
        <w:numPr>
          <w:ilvl w:val="1"/>
          <w:numId w:val="3"/>
        </w:numPr>
        <w:autoSpaceDE w:val="0"/>
        <w:autoSpaceDN w:val="0"/>
        <w:adjustRightInd w:val="0"/>
        <w:rPr>
          <w:rFonts w:ascii="Arial" w:hAnsi="Arial" w:cs="Arial"/>
          <w:bCs/>
          <w:sz w:val="36"/>
          <w:szCs w:val="22"/>
        </w:rPr>
      </w:pPr>
      <w:r>
        <w:rPr>
          <w:rFonts w:ascii="Arial" w:hAnsi="Arial" w:cs="Arial"/>
          <w:bCs/>
          <w:sz w:val="18"/>
          <w:szCs w:val="22"/>
        </w:rPr>
        <w:t xml:space="preserve">Case 28 – Recurrent Herpes Simplex Encephalitis </w:t>
      </w:r>
      <w:r w:rsidRPr="00707713">
        <w:rPr>
          <w:rFonts w:ascii="Arial" w:hAnsi="Arial" w:cs="Arial"/>
          <w:bCs/>
          <w:sz w:val="18"/>
          <w:szCs w:val="22"/>
          <w:highlight w:val="cyan"/>
        </w:rPr>
        <w:t>(Student led)</w:t>
      </w:r>
    </w:p>
    <w:p w14:paraId="1B60AB27" w14:textId="304BCB72" w:rsidR="00707713" w:rsidRPr="00707713" w:rsidRDefault="00707713" w:rsidP="00707713">
      <w:pPr>
        <w:pStyle w:val="ListParagraph"/>
        <w:widowControl w:val="0"/>
        <w:numPr>
          <w:ilvl w:val="1"/>
          <w:numId w:val="3"/>
        </w:numPr>
        <w:autoSpaceDE w:val="0"/>
        <w:autoSpaceDN w:val="0"/>
        <w:adjustRightInd w:val="0"/>
        <w:rPr>
          <w:rFonts w:ascii="Arial" w:hAnsi="Arial" w:cs="Arial"/>
          <w:bCs/>
          <w:sz w:val="36"/>
          <w:szCs w:val="22"/>
        </w:rPr>
      </w:pPr>
      <w:r>
        <w:rPr>
          <w:rFonts w:ascii="Arial" w:hAnsi="Arial" w:cs="Arial"/>
          <w:bCs/>
          <w:sz w:val="18"/>
          <w:szCs w:val="22"/>
        </w:rPr>
        <w:t xml:space="preserve">Case 29 – Interleukin 1 Receptor-Associated Kinase 4 deficiency </w:t>
      </w:r>
      <w:r w:rsidRPr="00707713">
        <w:rPr>
          <w:rFonts w:ascii="Arial" w:hAnsi="Arial" w:cs="Arial"/>
          <w:bCs/>
          <w:sz w:val="18"/>
          <w:szCs w:val="22"/>
          <w:highlight w:val="cyan"/>
        </w:rPr>
        <w:t>(Student led)</w:t>
      </w:r>
    </w:p>
    <w:p w14:paraId="544D46FA" w14:textId="77777777" w:rsidR="00707713" w:rsidRPr="00707713" w:rsidRDefault="00707713" w:rsidP="00707713">
      <w:pPr>
        <w:widowControl w:val="0"/>
        <w:autoSpaceDE w:val="0"/>
        <w:autoSpaceDN w:val="0"/>
        <w:adjustRightInd w:val="0"/>
        <w:ind w:left="720"/>
        <w:rPr>
          <w:rFonts w:ascii="Arial" w:hAnsi="Arial" w:cs="Arial"/>
          <w:bCs/>
          <w:sz w:val="18"/>
          <w:szCs w:val="18"/>
        </w:rPr>
      </w:pPr>
    </w:p>
    <w:p w14:paraId="25E1434B" w14:textId="77777777" w:rsidR="00DF13D6" w:rsidRDefault="00DF13D6" w:rsidP="0035474C">
      <w:pPr>
        <w:widowControl w:val="0"/>
        <w:autoSpaceDE w:val="0"/>
        <w:autoSpaceDN w:val="0"/>
        <w:adjustRightInd w:val="0"/>
        <w:rPr>
          <w:rFonts w:ascii="Arial" w:hAnsi="Arial" w:cs="Arial"/>
          <w:b/>
          <w:bCs/>
          <w:sz w:val="22"/>
          <w:szCs w:val="22"/>
        </w:rPr>
      </w:pPr>
    </w:p>
    <w:p w14:paraId="0060E5FF" w14:textId="26F66D4A" w:rsidR="00697975" w:rsidRPr="00435189" w:rsidRDefault="00697975" w:rsidP="0035474C">
      <w:pPr>
        <w:widowControl w:val="0"/>
        <w:autoSpaceDE w:val="0"/>
        <w:autoSpaceDN w:val="0"/>
        <w:adjustRightInd w:val="0"/>
        <w:rPr>
          <w:rFonts w:ascii="Arial" w:hAnsi="Arial" w:cs="Arial"/>
          <w:b/>
          <w:bCs/>
          <w:sz w:val="22"/>
          <w:szCs w:val="22"/>
        </w:rPr>
      </w:pPr>
      <w:r w:rsidRPr="00435189">
        <w:rPr>
          <w:rFonts w:ascii="Arial" w:hAnsi="Arial" w:cs="Arial"/>
          <w:b/>
          <w:bCs/>
          <w:sz w:val="22"/>
          <w:szCs w:val="22"/>
        </w:rPr>
        <w:t>Week 2 (neutrophils):</w:t>
      </w:r>
      <w:r w:rsidR="00552884">
        <w:rPr>
          <w:rFonts w:ascii="Arial" w:hAnsi="Arial" w:cs="Arial"/>
          <w:b/>
          <w:bCs/>
          <w:sz w:val="22"/>
          <w:szCs w:val="22"/>
        </w:rPr>
        <w:t xml:space="preserve"> </w:t>
      </w:r>
      <w:r w:rsidR="00552884" w:rsidRPr="00707713">
        <w:rPr>
          <w:rFonts w:ascii="Arial" w:hAnsi="Arial" w:cs="Arial"/>
          <w:b/>
          <w:bCs/>
          <w:sz w:val="22"/>
          <w:szCs w:val="22"/>
          <w:highlight w:val="red"/>
        </w:rPr>
        <w:t>NOTE holiday affect</w:t>
      </w:r>
      <w:r w:rsidR="00552884">
        <w:rPr>
          <w:rFonts w:ascii="Arial" w:hAnsi="Arial" w:cs="Arial"/>
          <w:b/>
          <w:bCs/>
          <w:sz w:val="22"/>
          <w:szCs w:val="22"/>
          <w:highlight w:val="red"/>
        </w:rPr>
        <w:t>s</w:t>
      </w:r>
      <w:r w:rsidR="00552884" w:rsidRPr="00707713">
        <w:rPr>
          <w:rFonts w:ascii="Arial" w:hAnsi="Arial" w:cs="Arial"/>
          <w:b/>
          <w:bCs/>
          <w:sz w:val="22"/>
          <w:szCs w:val="22"/>
          <w:highlight w:val="red"/>
        </w:rPr>
        <w:t xml:space="preserve"> schedule</w:t>
      </w:r>
    </w:p>
    <w:p w14:paraId="3E569EDD" w14:textId="77777777" w:rsidR="000104BB" w:rsidRDefault="000104BB" w:rsidP="000104BB">
      <w:pPr>
        <w:widowControl w:val="0"/>
        <w:autoSpaceDE w:val="0"/>
        <w:autoSpaceDN w:val="0"/>
        <w:adjustRightInd w:val="0"/>
        <w:rPr>
          <w:rFonts w:ascii="Arial" w:hAnsi="Arial" w:cs="Arial"/>
          <w:bCs/>
          <w:sz w:val="22"/>
          <w:szCs w:val="22"/>
        </w:rPr>
      </w:pPr>
    </w:p>
    <w:p w14:paraId="29ED5B8A" w14:textId="2A726A30" w:rsidR="000104BB" w:rsidRDefault="000104BB" w:rsidP="00F877EA">
      <w:pPr>
        <w:pStyle w:val="ListParagraph"/>
        <w:widowControl w:val="0"/>
        <w:numPr>
          <w:ilvl w:val="0"/>
          <w:numId w:val="3"/>
        </w:numPr>
        <w:autoSpaceDE w:val="0"/>
        <w:autoSpaceDN w:val="0"/>
        <w:adjustRightInd w:val="0"/>
        <w:rPr>
          <w:rFonts w:ascii="Arial" w:hAnsi="Arial" w:cs="Arial"/>
          <w:bCs/>
          <w:sz w:val="22"/>
          <w:szCs w:val="22"/>
        </w:rPr>
      </w:pPr>
      <w:r>
        <w:rPr>
          <w:rFonts w:ascii="Arial" w:hAnsi="Arial" w:cs="Arial"/>
          <w:bCs/>
          <w:sz w:val="22"/>
          <w:szCs w:val="22"/>
        </w:rPr>
        <w:t xml:space="preserve">Session </w:t>
      </w:r>
      <w:r w:rsidR="00707713">
        <w:rPr>
          <w:rFonts w:ascii="Arial" w:hAnsi="Arial" w:cs="Arial"/>
          <w:bCs/>
          <w:sz w:val="22"/>
          <w:szCs w:val="22"/>
        </w:rPr>
        <w:t>4</w:t>
      </w:r>
      <w:r>
        <w:rPr>
          <w:rFonts w:ascii="Arial" w:hAnsi="Arial" w:cs="Arial"/>
          <w:bCs/>
          <w:sz w:val="22"/>
          <w:szCs w:val="22"/>
        </w:rPr>
        <w:t xml:space="preserve"> – </w:t>
      </w:r>
      <w:r w:rsidR="00552884">
        <w:rPr>
          <w:rFonts w:ascii="Arial" w:hAnsi="Arial" w:cs="Arial"/>
          <w:bCs/>
          <w:sz w:val="22"/>
          <w:szCs w:val="22"/>
        </w:rPr>
        <w:t>Wed</w:t>
      </w:r>
      <w:r w:rsidR="00707713">
        <w:rPr>
          <w:rFonts w:ascii="Arial" w:hAnsi="Arial" w:cs="Arial"/>
          <w:bCs/>
          <w:sz w:val="22"/>
          <w:szCs w:val="22"/>
        </w:rPr>
        <w:t xml:space="preserve"> 8/29/201</w:t>
      </w:r>
      <w:r w:rsidR="00552884">
        <w:rPr>
          <w:rFonts w:ascii="Arial" w:hAnsi="Arial" w:cs="Arial"/>
          <w:bCs/>
          <w:sz w:val="22"/>
          <w:szCs w:val="22"/>
        </w:rPr>
        <w:t>8</w:t>
      </w:r>
      <w:r w:rsidR="00707713">
        <w:rPr>
          <w:rFonts w:ascii="Arial" w:hAnsi="Arial" w:cs="Arial"/>
          <w:bCs/>
          <w:sz w:val="22"/>
          <w:szCs w:val="22"/>
        </w:rPr>
        <w:t xml:space="preserve"> (Wallet lecture)</w:t>
      </w:r>
    </w:p>
    <w:p w14:paraId="4F7F995F" w14:textId="47089F12" w:rsidR="00707713" w:rsidRDefault="00707713" w:rsidP="00707713">
      <w:pPr>
        <w:pStyle w:val="ListParagraph"/>
        <w:widowControl w:val="0"/>
        <w:numPr>
          <w:ilvl w:val="1"/>
          <w:numId w:val="3"/>
        </w:numPr>
        <w:autoSpaceDE w:val="0"/>
        <w:autoSpaceDN w:val="0"/>
        <w:adjustRightInd w:val="0"/>
        <w:rPr>
          <w:rFonts w:ascii="Arial" w:hAnsi="Arial" w:cs="Arial"/>
          <w:bCs/>
          <w:sz w:val="18"/>
          <w:szCs w:val="22"/>
        </w:rPr>
      </w:pPr>
      <w:r w:rsidRPr="00707713">
        <w:rPr>
          <w:rFonts w:ascii="Arial" w:hAnsi="Arial" w:cs="Arial"/>
          <w:bCs/>
          <w:sz w:val="18"/>
          <w:szCs w:val="22"/>
        </w:rPr>
        <w:t>Neutrophils</w:t>
      </w:r>
    </w:p>
    <w:p w14:paraId="1C59B507" w14:textId="77777777" w:rsidR="00707713" w:rsidRPr="00707713" w:rsidRDefault="00707713" w:rsidP="00707713">
      <w:pPr>
        <w:pStyle w:val="ListParagraph"/>
        <w:widowControl w:val="0"/>
        <w:autoSpaceDE w:val="0"/>
        <w:autoSpaceDN w:val="0"/>
        <w:adjustRightInd w:val="0"/>
        <w:ind w:left="1440"/>
        <w:rPr>
          <w:rFonts w:ascii="Arial" w:hAnsi="Arial" w:cs="Arial"/>
          <w:bCs/>
          <w:sz w:val="18"/>
          <w:szCs w:val="22"/>
        </w:rPr>
      </w:pPr>
    </w:p>
    <w:p w14:paraId="57B60EE7" w14:textId="1426DA2C" w:rsidR="00707713" w:rsidRDefault="00707713" w:rsidP="00707713">
      <w:pPr>
        <w:pStyle w:val="ListParagraph"/>
        <w:widowControl w:val="0"/>
        <w:numPr>
          <w:ilvl w:val="0"/>
          <w:numId w:val="3"/>
        </w:numPr>
        <w:autoSpaceDE w:val="0"/>
        <w:autoSpaceDN w:val="0"/>
        <w:adjustRightInd w:val="0"/>
        <w:rPr>
          <w:rFonts w:ascii="Arial" w:hAnsi="Arial" w:cs="Arial"/>
          <w:bCs/>
          <w:sz w:val="22"/>
          <w:szCs w:val="22"/>
        </w:rPr>
      </w:pPr>
      <w:r>
        <w:rPr>
          <w:rFonts w:ascii="Arial" w:hAnsi="Arial" w:cs="Arial"/>
          <w:bCs/>
          <w:sz w:val="22"/>
          <w:szCs w:val="22"/>
        </w:rPr>
        <w:t xml:space="preserve">Session 5 – </w:t>
      </w:r>
      <w:r w:rsidR="00552884">
        <w:rPr>
          <w:rFonts w:ascii="Arial" w:hAnsi="Arial" w:cs="Arial"/>
          <w:bCs/>
          <w:sz w:val="22"/>
          <w:szCs w:val="22"/>
        </w:rPr>
        <w:t>Fri</w:t>
      </w:r>
      <w:r>
        <w:rPr>
          <w:rFonts w:ascii="Arial" w:hAnsi="Arial" w:cs="Arial"/>
          <w:bCs/>
          <w:sz w:val="22"/>
          <w:szCs w:val="22"/>
        </w:rPr>
        <w:t xml:space="preserve"> 8/31/201</w:t>
      </w:r>
      <w:r w:rsidR="00552884">
        <w:rPr>
          <w:rFonts w:ascii="Arial" w:hAnsi="Arial" w:cs="Arial"/>
          <w:bCs/>
          <w:sz w:val="22"/>
          <w:szCs w:val="22"/>
        </w:rPr>
        <w:t>8</w:t>
      </w:r>
      <w:r>
        <w:rPr>
          <w:rFonts w:ascii="Arial" w:hAnsi="Arial" w:cs="Arial"/>
          <w:bCs/>
          <w:sz w:val="22"/>
          <w:szCs w:val="22"/>
        </w:rPr>
        <w:t xml:space="preserve"> (Literature discussion – student led)</w:t>
      </w:r>
    </w:p>
    <w:p w14:paraId="7A37D0AD" w14:textId="05ABD155" w:rsidR="00707713" w:rsidRPr="00707713" w:rsidRDefault="00FA18F6" w:rsidP="00707713">
      <w:pPr>
        <w:pStyle w:val="ListParagraph"/>
        <w:widowControl w:val="0"/>
        <w:numPr>
          <w:ilvl w:val="1"/>
          <w:numId w:val="3"/>
        </w:numPr>
        <w:autoSpaceDE w:val="0"/>
        <w:autoSpaceDN w:val="0"/>
        <w:adjustRightInd w:val="0"/>
        <w:rPr>
          <w:rFonts w:ascii="Arial" w:hAnsi="Arial" w:cs="Arial"/>
          <w:bCs/>
          <w:sz w:val="22"/>
          <w:szCs w:val="22"/>
        </w:rPr>
      </w:pPr>
      <w:r w:rsidRPr="00707713">
        <w:rPr>
          <w:rFonts w:ascii="Arial" w:hAnsi="Arial" w:cs="Arial"/>
          <w:bCs/>
          <w:sz w:val="18"/>
          <w:szCs w:val="18"/>
        </w:rPr>
        <w:t xml:space="preserve">Page and Good. </w:t>
      </w:r>
      <w:r w:rsidR="00F877EA" w:rsidRPr="00707713">
        <w:rPr>
          <w:rFonts w:ascii="Arial" w:hAnsi="Arial" w:cs="Arial"/>
          <w:bCs/>
          <w:sz w:val="18"/>
          <w:szCs w:val="18"/>
        </w:rPr>
        <w:t xml:space="preserve">A clinical and experimental study of the function of neutrophils in the </w:t>
      </w:r>
      <w:r w:rsidRPr="00707713">
        <w:rPr>
          <w:rFonts w:ascii="Arial" w:hAnsi="Arial" w:cs="Arial"/>
          <w:bCs/>
          <w:sz w:val="18"/>
          <w:szCs w:val="18"/>
        </w:rPr>
        <w:tab/>
      </w:r>
      <w:r w:rsidR="00F877EA" w:rsidRPr="00707713">
        <w:rPr>
          <w:rFonts w:ascii="Arial" w:hAnsi="Arial" w:cs="Arial"/>
          <w:bCs/>
          <w:sz w:val="18"/>
          <w:szCs w:val="18"/>
        </w:rPr>
        <w:t>inflammatory response</w:t>
      </w:r>
      <w:r w:rsidRPr="00707713">
        <w:rPr>
          <w:rFonts w:ascii="Arial" w:hAnsi="Arial" w:cs="Arial"/>
          <w:bCs/>
          <w:sz w:val="18"/>
          <w:szCs w:val="18"/>
        </w:rPr>
        <w:t xml:space="preserve"> [PMID 13559398]</w:t>
      </w:r>
      <w:r w:rsidR="00707713">
        <w:rPr>
          <w:rFonts w:ascii="Arial" w:hAnsi="Arial" w:cs="Arial"/>
          <w:bCs/>
          <w:sz w:val="18"/>
          <w:szCs w:val="18"/>
        </w:rPr>
        <w:t xml:space="preserve"> </w:t>
      </w:r>
      <w:r w:rsidR="00707713" w:rsidRPr="00707713">
        <w:rPr>
          <w:rFonts w:ascii="Arial" w:hAnsi="Arial" w:cs="Arial"/>
          <w:bCs/>
          <w:sz w:val="18"/>
          <w:szCs w:val="18"/>
          <w:highlight w:val="green"/>
        </w:rPr>
        <w:t>(Independent reading)</w:t>
      </w:r>
    </w:p>
    <w:p w14:paraId="1CEAE4CB" w14:textId="488E9809" w:rsidR="00707713" w:rsidRPr="00707713" w:rsidRDefault="00901E20" w:rsidP="00707713">
      <w:pPr>
        <w:pStyle w:val="ListParagraph"/>
        <w:widowControl w:val="0"/>
        <w:numPr>
          <w:ilvl w:val="1"/>
          <w:numId w:val="3"/>
        </w:numPr>
        <w:autoSpaceDE w:val="0"/>
        <w:autoSpaceDN w:val="0"/>
        <w:adjustRightInd w:val="0"/>
        <w:rPr>
          <w:rFonts w:ascii="Arial" w:hAnsi="Arial" w:cs="Arial"/>
          <w:bCs/>
          <w:sz w:val="22"/>
          <w:szCs w:val="22"/>
        </w:rPr>
      </w:pPr>
      <w:r w:rsidRPr="00707713">
        <w:rPr>
          <w:rFonts w:ascii="Arial" w:hAnsi="Arial" w:cs="Arial"/>
          <w:bCs/>
          <w:sz w:val="18"/>
          <w:szCs w:val="18"/>
        </w:rPr>
        <w:t xml:space="preserve">Babior, et al. Biological defense mechanisms. The production by leukocytes of </w:t>
      </w:r>
      <w:r w:rsidRPr="00707713">
        <w:rPr>
          <w:rFonts w:ascii="Arial" w:hAnsi="Arial" w:cs="Arial"/>
          <w:bCs/>
          <w:sz w:val="18"/>
          <w:szCs w:val="18"/>
        </w:rPr>
        <w:tab/>
        <w:t>superoxide, a potential bactericidal agent [PMID 4346473]</w:t>
      </w:r>
      <w:r w:rsidR="00707713">
        <w:rPr>
          <w:rFonts w:ascii="Arial" w:hAnsi="Arial" w:cs="Arial"/>
          <w:bCs/>
          <w:sz w:val="18"/>
          <w:szCs w:val="18"/>
        </w:rPr>
        <w:t xml:space="preserve"> </w:t>
      </w:r>
      <w:r w:rsidR="00707713" w:rsidRPr="00707713">
        <w:rPr>
          <w:rFonts w:ascii="Arial" w:hAnsi="Arial" w:cs="Arial"/>
          <w:bCs/>
          <w:sz w:val="18"/>
          <w:szCs w:val="18"/>
          <w:highlight w:val="cyan"/>
        </w:rPr>
        <w:t>(Student led)</w:t>
      </w:r>
    </w:p>
    <w:p w14:paraId="501965BC" w14:textId="256BE111" w:rsidR="00583629" w:rsidRPr="00343EE5" w:rsidRDefault="00583629" w:rsidP="00707713">
      <w:pPr>
        <w:pStyle w:val="ListParagraph"/>
        <w:widowControl w:val="0"/>
        <w:numPr>
          <w:ilvl w:val="1"/>
          <w:numId w:val="3"/>
        </w:numPr>
        <w:autoSpaceDE w:val="0"/>
        <w:autoSpaceDN w:val="0"/>
        <w:adjustRightInd w:val="0"/>
        <w:rPr>
          <w:rFonts w:ascii="Arial" w:hAnsi="Arial" w:cs="Arial"/>
          <w:bCs/>
          <w:sz w:val="22"/>
          <w:szCs w:val="22"/>
        </w:rPr>
      </w:pPr>
      <w:r w:rsidRPr="00707713">
        <w:rPr>
          <w:rFonts w:ascii="Arial" w:hAnsi="Arial" w:cs="Arial"/>
          <w:bCs/>
          <w:sz w:val="18"/>
          <w:szCs w:val="18"/>
        </w:rPr>
        <w:t xml:space="preserve">Reeves, et al. Killing activity of neutrophils is mediated through activation of proteases by </w:t>
      </w:r>
      <w:r w:rsidRPr="00707713">
        <w:rPr>
          <w:rFonts w:ascii="Arial" w:hAnsi="Arial" w:cs="Arial"/>
          <w:bCs/>
          <w:sz w:val="18"/>
          <w:szCs w:val="18"/>
        </w:rPr>
        <w:tab/>
        <w:t>K</w:t>
      </w:r>
      <w:r w:rsidRPr="00707713">
        <w:rPr>
          <w:rFonts w:ascii="Arial" w:hAnsi="Arial" w:cs="Arial"/>
          <w:bCs/>
          <w:sz w:val="18"/>
          <w:szCs w:val="18"/>
          <w:vertAlign w:val="superscript"/>
        </w:rPr>
        <w:t>+</w:t>
      </w:r>
      <w:r w:rsidRPr="00707713">
        <w:rPr>
          <w:rFonts w:ascii="Arial" w:hAnsi="Arial" w:cs="Arial"/>
          <w:bCs/>
          <w:sz w:val="18"/>
          <w:szCs w:val="18"/>
        </w:rPr>
        <w:t xml:space="preserve"> flux [PMID 11907569]</w:t>
      </w:r>
      <w:r w:rsidR="00707713">
        <w:rPr>
          <w:rFonts w:ascii="Arial" w:hAnsi="Arial" w:cs="Arial"/>
          <w:bCs/>
          <w:sz w:val="18"/>
          <w:szCs w:val="18"/>
        </w:rPr>
        <w:t xml:space="preserve"> </w:t>
      </w:r>
      <w:r w:rsidR="00707713" w:rsidRPr="00707713">
        <w:rPr>
          <w:rFonts w:ascii="Arial" w:hAnsi="Arial" w:cs="Arial"/>
          <w:bCs/>
          <w:sz w:val="18"/>
          <w:szCs w:val="18"/>
          <w:highlight w:val="cyan"/>
        </w:rPr>
        <w:t>(Student led)</w:t>
      </w:r>
    </w:p>
    <w:p w14:paraId="36A5FD1A" w14:textId="77777777" w:rsidR="00343EE5" w:rsidRPr="00343EE5" w:rsidRDefault="00343EE5" w:rsidP="00343EE5">
      <w:pPr>
        <w:pStyle w:val="ListParagraph"/>
        <w:widowControl w:val="0"/>
        <w:autoSpaceDE w:val="0"/>
        <w:autoSpaceDN w:val="0"/>
        <w:adjustRightInd w:val="0"/>
        <w:ind w:left="1440"/>
        <w:rPr>
          <w:rFonts w:ascii="Arial" w:hAnsi="Arial" w:cs="Arial"/>
          <w:bCs/>
          <w:sz w:val="22"/>
          <w:szCs w:val="22"/>
        </w:rPr>
      </w:pPr>
    </w:p>
    <w:p w14:paraId="13A8AD06" w14:textId="728C4709" w:rsidR="00343EE5" w:rsidRPr="00343EE5" w:rsidRDefault="00343EE5" w:rsidP="00343EE5">
      <w:pPr>
        <w:pStyle w:val="ListParagraph"/>
        <w:widowControl w:val="0"/>
        <w:numPr>
          <w:ilvl w:val="0"/>
          <w:numId w:val="3"/>
        </w:numPr>
        <w:autoSpaceDE w:val="0"/>
        <w:autoSpaceDN w:val="0"/>
        <w:adjustRightInd w:val="0"/>
        <w:rPr>
          <w:rFonts w:ascii="Arial" w:hAnsi="Arial" w:cs="Arial"/>
          <w:bCs/>
          <w:sz w:val="22"/>
          <w:szCs w:val="22"/>
        </w:rPr>
      </w:pPr>
      <w:r>
        <w:rPr>
          <w:rFonts w:ascii="Arial" w:hAnsi="Arial" w:cs="Arial"/>
          <w:bCs/>
          <w:sz w:val="22"/>
          <w:szCs w:val="22"/>
        </w:rPr>
        <w:t xml:space="preserve">Session 6 – Mon 9/3/2018 – no class (Case studies review – </w:t>
      </w:r>
      <w:r w:rsidRPr="00707713">
        <w:rPr>
          <w:rFonts w:ascii="Arial" w:hAnsi="Arial" w:cs="Arial"/>
          <w:bCs/>
          <w:sz w:val="22"/>
          <w:szCs w:val="22"/>
          <w:highlight w:val="green"/>
        </w:rPr>
        <w:t>all independent reading</w:t>
      </w:r>
      <w:r>
        <w:rPr>
          <w:rFonts w:ascii="Arial" w:hAnsi="Arial" w:cs="Arial"/>
          <w:bCs/>
          <w:sz w:val="22"/>
          <w:szCs w:val="22"/>
        </w:rPr>
        <w:t xml:space="preserve"> </w:t>
      </w:r>
      <w:r w:rsidRPr="00343EE5">
        <w:rPr>
          <w:rFonts w:ascii="Arial" w:hAnsi="Arial" w:cs="Arial"/>
          <w:bCs/>
          <w:sz w:val="22"/>
          <w:szCs w:val="22"/>
        </w:rPr>
        <w:t>due to holiday)</w:t>
      </w:r>
    </w:p>
    <w:p w14:paraId="1083EEB2" w14:textId="77777777" w:rsidR="00343EE5" w:rsidRPr="00707713" w:rsidRDefault="00343EE5" w:rsidP="00343EE5">
      <w:pPr>
        <w:pStyle w:val="ListParagraph"/>
        <w:widowControl w:val="0"/>
        <w:numPr>
          <w:ilvl w:val="1"/>
          <w:numId w:val="3"/>
        </w:numPr>
        <w:autoSpaceDE w:val="0"/>
        <w:autoSpaceDN w:val="0"/>
        <w:adjustRightInd w:val="0"/>
        <w:rPr>
          <w:rFonts w:ascii="Arial" w:hAnsi="Arial" w:cs="Arial"/>
          <w:bCs/>
          <w:sz w:val="22"/>
          <w:szCs w:val="22"/>
        </w:rPr>
      </w:pPr>
      <w:r>
        <w:rPr>
          <w:rFonts w:ascii="Arial" w:hAnsi="Arial" w:cs="Arial"/>
          <w:bCs/>
          <w:sz w:val="18"/>
          <w:szCs w:val="18"/>
        </w:rPr>
        <w:t xml:space="preserve">Case 25 – Severe Congenital Neutropenia </w:t>
      </w:r>
      <w:r w:rsidRPr="00707713">
        <w:rPr>
          <w:rFonts w:ascii="Arial" w:hAnsi="Arial" w:cs="Arial"/>
          <w:bCs/>
          <w:sz w:val="18"/>
          <w:szCs w:val="18"/>
          <w:highlight w:val="green"/>
        </w:rPr>
        <w:t>(Independent reading)</w:t>
      </w:r>
    </w:p>
    <w:p w14:paraId="3068CCB3" w14:textId="675B5F86" w:rsidR="00343EE5" w:rsidRPr="00707713" w:rsidRDefault="00343EE5" w:rsidP="00343EE5">
      <w:pPr>
        <w:pStyle w:val="ListParagraph"/>
        <w:widowControl w:val="0"/>
        <w:numPr>
          <w:ilvl w:val="1"/>
          <w:numId w:val="3"/>
        </w:numPr>
        <w:autoSpaceDE w:val="0"/>
        <w:autoSpaceDN w:val="0"/>
        <w:adjustRightInd w:val="0"/>
        <w:rPr>
          <w:rFonts w:ascii="Arial" w:hAnsi="Arial" w:cs="Arial"/>
          <w:bCs/>
          <w:sz w:val="22"/>
          <w:szCs w:val="22"/>
        </w:rPr>
      </w:pPr>
      <w:r>
        <w:rPr>
          <w:rFonts w:ascii="Arial" w:hAnsi="Arial" w:cs="Arial"/>
          <w:bCs/>
          <w:sz w:val="18"/>
          <w:szCs w:val="18"/>
        </w:rPr>
        <w:t xml:space="preserve">Case 26 – Chronic Granulomatous Disease </w:t>
      </w:r>
      <w:r w:rsidRPr="00707713">
        <w:rPr>
          <w:rFonts w:ascii="Arial" w:hAnsi="Arial" w:cs="Arial"/>
          <w:bCs/>
          <w:sz w:val="18"/>
          <w:szCs w:val="18"/>
          <w:highlight w:val="green"/>
        </w:rPr>
        <w:t>(Independent reading)</w:t>
      </w:r>
    </w:p>
    <w:p w14:paraId="5EC422ED" w14:textId="428A7CE3" w:rsidR="00343EE5" w:rsidRPr="005B79D6" w:rsidRDefault="00343EE5" w:rsidP="005B79D6">
      <w:pPr>
        <w:pStyle w:val="ListParagraph"/>
        <w:widowControl w:val="0"/>
        <w:numPr>
          <w:ilvl w:val="1"/>
          <w:numId w:val="3"/>
        </w:numPr>
        <w:autoSpaceDE w:val="0"/>
        <w:autoSpaceDN w:val="0"/>
        <w:adjustRightInd w:val="0"/>
        <w:rPr>
          <w:rFonts w:ascii="Arial" w:hAnsi="Arial" w:cs="Arial"/>
          <w:bCs/>
          <w:sz w:val="22"/>
          <w:szCs w:val="22"/>
        </w:rPr>
      </w:pPr>
      <w:r>
        <w:rPr>
          <w:rFonts w:ascii="Arial" w:hAnsi="Arial" w:cs="Arial"/>
          <w:bCs/>
          <w:sz w:val="18"/>
          <w:szCs w:val="18"/>
        </w:rPr>
        <w:t xml:space="preserve">Case 27 – Leukocyte Adhesion Deficiency </w:t>
      </w:r>
      <w:r w:rsidRPr="00707713">
        <w:rPr>
          <w:rFonts w:ascii="Arial" w:hAnsi="Arial" w:cs="Arial"/>
          <w:bCs/>
          <w:sz w:val="18"/>
          <w:szCs w:val="18"/>
          <w:highlight w:val="green"/>
        </w:rPr>
        <w:t>(Independent reading)</w:t>
      </w:r>
    </w:p>
    <w:p w14:paraId="440E5598" w14:textId="77777777" w:rsidR="00707713" w:rsidRDefault="00707713" w:rsidP="00707713">
      <w:pPr>
        <w:widowControl w:val="0"/>
        <w:autoSpaceDE w:val="0"/>
        <w:autoSpaceDN w:val="0"/>
        <w:adjustRightInd w:val="0"/>
        <w:rPr>
          <w:rFonts w:ascii="Arial" w:hAnsi="Arial" w:cs="Arial"/>
          <w:bCs/>
          <w:sz w:val="22"/>
          <w:szCs w:val="22"/>
        </w:rPr>
      </w:pPr>
    </w:p>
    <w:p w14:paraId="3D2256B4" w14:textId="77777777" w:rsidR="00707713" w:rsidRPr="00707713" w:rsidRDefault="00707713" w:rsidP="00707713">
      <w:pPr>
        <w:widowControl w:val="0"/>
        <w:autoSpaceDE w:val="0"/>
        <w:autoSpaceDN w:val="0"/>
        <w:adjustRightInd w:val="0"/>
        <w:rPr>
          <w:rFonts w:ascii="Arial" w:hAnsi="Arial" w:cs="Arial"/>
          <w:bCs/>
          <w:sz w:val="22"/>
          <w:szCs w:val="22"/>
        </w:rPr>
      </w:pPr>
    </w:p>
    <w:p w14:paraId="4B16CF00" w14:textId="53F047E0" w:rsidR="00697975" w:rsidRPr="00435189" w:rsidRDefault="00697975" w:rsidP="0035474C">
      <w:pPr>
        <w:widowControl w:val="0"/>
        <w:autoSpaceDE w:val="0"/>
        <w:autoSpaceDN w:val="0"/>
        <w:adjustRightInd w:val="0"/>
        <w:rPr>
          <w:rFonts w:ascii="Arial" w:hAnsi="Arial" w:cs="Arial"/>
          <w:b/>
          <w:bCs/>
          <w:sz w:val="22"/>
          <w:szCs w:val="22"/>
        </w:rPr>
      </w:pPr>
      <w:r w:rsidRPr="00435189">
        <w:rPr>
          <w:rFonts w:ascii="Arial" w:hAnsi="Arial" w:cs="Arial"/>
          <w:b/>
          <w:bCs/>
          <w:sz w:val="22"/>
          <w:szCs w:val="22"/>
        </w:rPr>
        <w:t>Week 3 (macrophages):</w:t>
      </w:r>
      <w:r w:rsidR="00707713">
        <w:rPr>
          <w:rFonts w:ascii="Arial" w:hAnsi="Arial" w:cs="Arial"/>
          <w:b/>
          <w:bCs/>
          <w:sz w:val="22"/>
          <w:szCs w:val="22"/>
        </w:rPr>
        <w:t xml:space="preserve"> </w:t>
      </w:r>
    </w:p>
    <w:p w14:paraId="11903F63" w14:textId="77777777" w:rsidR="00697975" w:rsidRDefault="00697975" w:rsidP="0035474C">
      <w:pPr>
        <w:widowControl w:val="0"/>
        <w:autoSpaceDE w:val="0"/>
        <w:autoSpaceDN w:val="0"/>
        <w:adjustRightInd w:val="0"/>
        <w:rPr>
          <w:rFonts w:ascii="Arial" w:hAnsi="Arial" w:cs="Arial"/>
          <w:bCs/>
          <w:sz w:val="22"/>
          <w:szCs w:val="22"/>
        </w:rPr>
      </w:pPr>
    </w:p>
    <w:p w14:paraId="41246CC9" w14:textId="2572524C" w:rsidR="005B79D6" w:rsidRDefault="005B79D6" w:rsidP="005B79D6">
      <w:pPr>
        <w:pStyle w:val="ListParagraph"/>
        <w:widowControl w:val="0"/>
        <w:numPr>
          <w:ilvl w:val="0"/>
          <w:numId w:val="3"/>
        </w:numPr>
        <w:autoSpaceDE w:val="0"/>
        <w:autoSpaceDN w:val="0"/>
        <w:adjustRightInd w:val="0"/>
        <w:rPr>
          <w:rFonts w:ascii="Arial" w:hAnsi="Arial" w:cs="Arial"/>
          <w:bCs/>
          <w:sz w:val="22"/>
          <w:szCs w:val="22"/>
        </w:rPr>
      </w:pPr>
      <w:r w:rsidRPr="00F877EA">
        <w:rPr>
          <w:rFonts w:ascii="Arial" w:hAnsi="Arial" w:cs="Arial"/>
          <w:bCs/>
          <w:sz w:val="22"/>
          <w:szCs w:val="22"/>
        </w:rPr>
        <w:t xml:space="preserve">Session </w:t>
      </w:r>
      <w:r w:rsidR="002419F0">
        <w:rPr>
          <w:rFonts w:ascii="Arial" w:hAnsi="Arial" w:cs="Arial"/>
          <w:bCs/>
          <w:sz w:val="22"/>
          <w:szCs w:val="22"/>
        </w:rPr>
        <w:t>7</w:t>
      </w:r>
      <w:r w:rsidRPr="00F877EA">
        <w:rPr>
          <w:rFonts w:ascii="Arial" w:hAnsi="Arial" w:cs="Arial"/>
          <w:bCs/>
          <w:sz w:val="22"/>
          <w:szCs w:val="22"/>
        </w:rPr>
        <w:t xml:space="preserve"> – </w:t>
      </w:r>
      <w:r>
        <w:rPr>
          <w:rFonts w:ascii="Arial" w:hAnsi="Arial" w:cs="Arial"/>
          <w:bCs/>
          <w:sz w:val="22"/>
          <w:szCs w:val="22"/>
        </w:rPr>
        <w:t>Wed 9/5/2018 (Wallet lecture)</w:t>
      </w:r>
    </w:p>
    <w:p w14:paraId="2D6E22CD" w14:textId="77777777" w:rsidR="005B79D6" w:rsidRPr="00707713" w:rsidRDefault="005B79D6" w:rsidP="005B79D6">
      <w:pPr>
        <w:pStyle w:val="ListParagraph"/>
        <w:widowControl w:val="0"/>
        <w:numPr>
          <w:ilvl w:val="1"/>
          <w:numId w:val="3"/>
        </w:numPr>
        <w:autoSpaceDE w:val="0"/>
        <w:autoSpaceDN w:val="0"/>
        <w:adjustRightInd w:val="0"/>
        <w:rPr>
          <w:rFonts w:ascii="Arial" w:hAnsi="Arial" w:cs="Arial"/>
          <w:bCs/>
          <w:sz w:val="18"/>
          <w:szCs w:val="22"/>
        </w:rPr>
      </w:pPr>
      <w:r w:rsidRPr="00707713">
        <w:rPr>
          <w:rFonts w:ascii="Arial" w:hAnsi="Arial" w:cs="Arial"/>
          <w:bCs/>
          <w:sz w:val="18"/>
          <w:szCs w:val="22"/>
        </w:rPr>
        <w:lastRenderedPageBreak/>
        <w:t>Macrophages</w:t>
      </w:r>
    </w:p>
    <w:p w14:paraId="6EE0EC78" w14:textId="126B4118" w:rsidR="005B79D6" w:rsidRDefault="00697975" w:rsidP="005B79D6">
      <w:pPr>
        <w:pStyle w:val="ListParagraph"/>
        <w:widowControl w:val="0"/>
        <w:numPr>
          <w:ilvl w:val="0"/>
          <w:numId w:val="3"/>
        </w:numPr>
        <w:autoSpaceDE w:val="0"/>
        <w:autoSpaceDN w:val="0"/>
        <w:adjustRightInd w:val="0"/>
        <w:rPr>
          <w:rFonts w:ascii="Arial" w:hAnsi="Arial" w:cs="Arial"/>
          <w:bCs/>
          <w:sz w:val="22"/>
          <w:szCs w:val="22"/>
        </w:rPr>
      </w:pPr>
      <w:r w:rsidRPr="005B79D6">
        <w:rPr>
          <w:rFonts w:ascii="Arial" w:hAnsi="Arial" w:cs="Arial"/>
          <w:bCs/>
          <w:sz w:val="22"/>
          <w:szCs w:val="22"/>
        </w:rPr>
        <w:t xml:space="preserve">Session </w:t>
      </w:r>
      <w:r w:rsidR="002419F0">
        <w:rPr>
          <w:rFonts w:ascii="Arial" w:hAnsi="Arial" w:cs="Arial"/>
          <w:bCs/>
          <w:sz w:val="22"/>
          <w:szCs w:val="22"/>
        </w:rPr>
        <w:t>8</w:t>
      </w:r>
      <w:r w:rsidRPr="005B79D6">
        <w:rPr>
          <w:rFonts w:ascii="Arial" w:hAnsi="Arial" w:cs="Arial"/>
          <w:bCs/>
          <w:sz w:val="22"/>
          <w:szCs w:val="22"/>
        </w:rPr>
        <w:t xml:space="preserve"> – </w:t>
      </w:r>
      <w:r w:rsidR="00343EE5" w:rsidRPr="005B79D6">
        <w:rPr>
          <w:rFonts w:ascii="Arial" w:hAnsi="Arial" w:cs="Arial"/>
          <w:bCs/>
          <w:sz w:val="22"/>
          <w:szCs w:val="22"/>
        </w:rPr>
        <w:t>Fri</w:t>
      </w:r>
      <w:r w:rsidR="00707713" w:rsidRPr="005B79D6">
        <w:rPr>
          <w:rFonts w:ascii="Arial" w:hAnsi="Arial" w:cs="Arial"/>
          <w:bCs/>
          <w:sz w:val="22"/>
          <w:szCs w:val="22"/>
        </w:rPr>
        <w:t xml:space="preserve"> 9/</w:t>
      </w:r>
      <w:r w:rsidR="00343EE5" w:rsidRPr="005B79D6">
        <w:rPr>
          <w:rFonts w:ascii="Arial" w:hAnsi="Arial" w:cs="Arial"/>
          <w:bCs/>
          <w:sz w:val="22"/>
          <w:szCs w:val="22"/>
        </w:rPr>
        <w:t>7</w:t>
      </w:r>
      <w:r w:rsidR="00707713" w:rsidRPr="005B79D6">
        <w:rPr>
          <w:rFonts w:ascii="Arial" w:hAnsi="Arial" w:cs="Arial"/>
          <w:bCs/>
          <w:sz w:val="22"/>
          <w:szCs w:val="22"/>
        </w:rPr>
        <w:t>/201</w:t>
      </w:r>
      <w:r w:rsidR="00343EE5" w:rsidRPr="005B79D6">
        <w:rPr>
          <w:rFonts w:ascii="Arial" w:hAnsi="Arial" w:cs="Arial"/>
          <w:bCs/>
          <w:sz w:val="22"/>
          <w:szCs w:val="22"/>
        </w:rPr>
        <w:t>8</w:t>
      </w:r>
      <w:r w:rsidR="00707713" w:rsidRPr="005B79D6">
        <w:rPr>
          <w:rFonts w:ascii="Arial" w:hAnsi="Arial" w:cs="Arial"/>
          <w:bCs/>
          <w:sz w:val="22"/>
          <w:szCs w:val="22"/>
        </w:rPr>
        <w:t xml:space="preserve"> – no class </w:t>
      </w:r>
      <w:r w:rsidR="005B79D6">
        <w:rPr>
          <w:rFonts w:ascii="Arial" w:hAnsi="Arial" w:cs="Arial"/>
          <w:bCs/>
          <w:sz w:val="22"/>
          <w:szCs w:val="22"/>
        </w:rPr>
        <w:t>(Literature discussion – student led)</w:t>
      </w:r>
    </w:p>
    <w:p w14:paraId="538CCDA4" w14:textId="128762AB" w:rsidR="00707713" w:rsidRPr="005B79D6" w:rsidRDefault="008E501F" w:rsidP="005A7EFE">
      <w:pPr>
        <w:pStyle w:val="ListParagraph"/>
        <w:widowControl w:val="0"/>
        <w:numPr>
          <w:ilvl w:val="1"/>
          <w:numId w:val="3"/>
        </w:numPr>
        <w:autoSpaceDE w:val="0"/>
        <w:autoSpaceDN w:val="0"/>
        <w:adjustRightInd w:val="0"/>
        <w:rPr>
          <w:rFonts w:ascii="Arial" w:hAnsi="Arial" w:cs="Arial"/>
          <w:bCs/>
          <w:sz w:val="22"/>
          <w:szCs w:val="22"/>
        </w:rPr>
      </w:pPr>
      <w:r w:rsidRPr="005B79D6">
        <w:rPr>
          <w:rFonts w:ascii="Arial" w:hAnsi="Arial" w:cs="Arial"/>
          <w:bCs/>
          <w:sz w:val="18"/>
          <w:szCs w:val="18"/>
        </w:rPr>
        <w:t xml:space="preserve">Nakahara W. </w:t>
      </w:r>
      <w:r w:rsidR="00697975" w:rsidRPr="005B79D6">
        <w:rPr>
          <w:rFonts w:ascii="Arial" w:hAnsi="Arial" w:cs="Arial"/>
          <w:bCs/>
          <w:sz w:val="18"/>
          <w:szCs w:val="18"/>
        </w:rPr>
        <w:t>The function of macrophages in local resistance to bacterial infections</w:t>
      </w:r>
      <w:r w:rsidRPr="005B79D6">
        <w:rPr>
          <w:rFonts w:ascii="Arial" w:hAnsi="Arial" w:cs="Arial"/>
          <w:bCs/>
          <w:sz w:val="18"/>
          <w:szCs w:val="18"/>
        </w:rPr>
        <w:t xml:space="preserve"> </w:t>
      </w:r>
      <w:r w:rsidRPr="005B79D6">
        <w:rPr>
          <w:rFonts w:ascii="Arial" w:hAnsi="Arial" w:cs="Arial"/>
          <w:bCs/>
          <w:sz w:val="18"/>
          <w:szCs w:val="18"/>
        </w:rPr>
        <w:tab/>
        <w:t>[PMID 19869046]</w:t>
      </w:r>
    </w:p>
    <w:p w14:paraId="62652B25" w14:textId="359E310D" w:rsidR="00707713" w:rsidRPr="00707713" w:rsidRDefault="008E3001" w:rsidP="00707713">
      <w:pPr>
        <w:pStyle w:val="ListParagraph"/>
        <w:widowControl w:val="0"/>
        <w:numPr>
          <w:ilvl w:val="1"/>
          <w:numId w:val="3"/>
        </w:numPr>
        <w:autoSpaceDE w:val="0"/>
        <w:autoSpaceDN w:val="0"/>
        <w:adjustRightInd w:val="0"/>
        <w:rPr>
          <w:rFonts w:ascii="Arial" w:hAnsi="Arial" w:cs="Arial"/>
          <w:bCs/>
          <w:sz w:val="22"/>
          <w:szCs w:val="22"/>
        </w:rPr>
      </w:pPr>
      <w:r w:rsidRPr="00707713">
        <w:rPr>
          <w:rFonts w:ascii="Arial" w:hAnsi="Arial" w:cs="Arial"/>
          <w:bCs/>
          <w:sz w:val="18"/>
          <w:szCs w:val="18"/>
        </w:rPr>
        <w:t>Cohn ZA. The fate of bacteria within phagocytic cells I. The degradation of isotopically labeled bacteria by polymorphonuclear leucocytes and macrophages [PMID 14022146]</w:t>
      </w:r>
    </w:p>
    <w:p w14:paraId="566DE217" w14:textId="5E35161D" w:rsidR="008E3001" w:rsidRPr="00707713" w:rsidRDefault="008E3001" w:rsidP="00707713">
      <w:pPr>
        <w:pStyle w:val="ListParagraph"/>
        <w:widowControl w:val="0"/>
        <w:numPr>
          <w:ilvl w:val="1"/>
          <w:numId w:val="3"/>
        </w:numPr>
        <w:autoSpaceDE w:val="0"/>
        <w:autoSpaceDN w:val="0"/>
        <w:adjustRightInd w:val="0"/>
        <w:rPr>
          <w:rFonts w:ascii="Arial" w:hAnsi="Arial" w:cs="Arial"/>
          <w:bCs/>
          <w:sz w:val="22"/>
          <w:szCs w:val="22"/>
        </w:rPr>
      </w:pPr>
      <w:r w:rsidRPr="00707713">
        <w:rPr>
          <w:rFonts w:ascii="Arial" w:hAnsi="Arial" w:cs="Arial"/>
          <w:bCs/>
          <w:sz w:val="18"/>
          <w:szCs w:val="18"/>
        </w:rPr>
        <w:t xml:space="preserve">Nogueira N, et al. </w:t>
      </w:r>
      <w:r w:rsidRPr="00707713">
        <w:rPr>
          <w:rFonts w:ascii="Arial" w:hAnsi="Arial" w:cs="Arial"/>
          <w:bCs/>
          <w:i/>
          <w:sz w:val="18"/>
          <w:szCs w:val="18"/>
        </w:rPr>
        <w:t>Trypanosoma Cruzi</w:t>
      </w:r>
      <w:r w:rsidRPr="00707713">
        <w:rPr>
          <w:rFonts w:ascii="Arial" w:hAnsi="Arial" w:cs="Arial"/>
          <w:bCs/>
          <w:sz w:val="18"/>
          <w:szCs w:val="18"/>
        </w:rPr>
        <w:t xml:space="preserve">: Modification of macrophage function during </w:t>
      </w:r>
      <w:r w:rsidRPr="00707713">
        <w:rPr>
          <w:rFonts w:ascii="Arial" w:hAnsi="Arial" w:cs="Arial"/>
          <w:bCs/>
          <w:sz w:val="18"/>
          <w:szCs w:val="18"/>
        </w:rPr>
        <w:tab/>
        <w:t>infection [PMID 327012]</w:t>
      </w:r>
    </w:p>
    <w:p w14:paraId="0E8B04CC" w14:textId="77777777" w:rsidR="008E3001" w:rsidRDefault="008E3001" w:rsidP="008E3001">
      <w:pPr>
        <w:pStyle w:val="ListParagraph"/>
        <w:widowControl w:val="0"/>
        <w:autoSpaceDE w:val="0"/>
        <w:autoSpaceDN w:val="0"/>
        <w:adjustRightInd w:val="0"/>
        <w:ind w:left="1080"/>
        <w:rPr>
          <w:rFonts w:ascii="Arial" w:hAnsi="Arial" w:cs="Arial"/>
          <w:bCs/>
          <w:sz w:val="18"/>
          <w:szCs w:val="18"/>
        </w:rPr>
      </w:pPr>
    </w:p>
    <w:p w14:paraId="3CD006D9" w14:textId="77777777" w:rsidR="00707713" w:rsidRPr="00707713" w:rsidRDefault="00707713" w:rsidP="00707713">
      <w:pPr>
        <w:widowControl w:val="0"/>
        <w:autoSpaceDE w:val="0"/>
        <w:autoSpaceDN w:val="0"/>
        <w:adjustRightInd w:val="0"/>
        <w:rPr>
          <w:rFonts w:ascii="Arial" w:hAnsi="Arial" w:cs="Arial"/>
          <w:bCs/>
          <w:sz w:val="22"/>
          <w:szCs w:val="22"/>
        </w:rPr>
      </w:pPr>
    </w:p>
    <w:p w14:paraId="7F0F1F59" w14:textId="25D7C1B3" w:rsidR="0035433A" w:rsidRPr="0035433A" w:rsidRDefault="00707713" w:rsidP="0035433A">
      <w:pPr>
        <w:pStyle w:val="ListParagraph"/>
        <w:widowControl w:val="0"/>
        <w:numPr>
          <w:ilvl w:val="0"/>
          <w:numId w:val="3"/>
        </w:numPr>
        <w:autoSpaceDE w:val="0"/>
        <w:autoSpaceDN w:val="0"/>
        <w:adjustRightInd w:val="0"/>
        <w:rPr>
          <w:rFonts w:ascii="Arial" w:hAnsi="Arial" w:cs="Arial"/>
          <w:bCs/>
          <w:sz w:val="22"/>
          <w:szCs w:val="22"/>
        </w:rPr>
      </w:pPr>
      <w:r>
        <w:rPr>
          <w:rFonts w:ascii="Arial" w:hAnsi="Arial" w:cs="Arial"/>
          <w:bCs/>
          <w:sz w:val="22"/>
          <w:szCs w:val="22"/>
        </w:rPr>
        <w:t xml:space="preserve">Session </w:t>
      </w:r>
      <w:r w:rsidR="0035433A">
        <w:rPr>
          <w:rFonts w:ascii="Arial" w:hAnsi="Arial" w:cs="Arial"/>
          <w:bCs/>
          <w:sz w:val="22"/>
          <w:szCs w:val="22"/>
        </w:rPr>
        <w:t>9</w:t>
      </w:r>
      <w:r>
        <w:rPr>
          <w:rFonts w:ascii="Arial" w:hAnsi="Arial" w:cs="Arial"/>
          <w:bCs/>
          <w:sz w:val="22"/>
          <w:szCs w:val="22"/>
        </w:rPr>
        <w:t xml:space="preserve"> - </w:t>
      </w:r>
      <w:r w:rsidR="005B79D6">
        <w:rPr>
          <w:rFonts w:ascii="Arial" w:hAnsi="Arial" w:cs="Arial"/>
          <w:bCs/>
          <w:sz w:val="22"/>
          <w:szCs w:val="22"/>
        </w:rPr>
        <w:t>Mon</w:t>
      </w:r>
      <w:r>
        <w:rPr>
          <w:rFonts w:ascii="Arial" w:hAnsi="Arial" w:cs="Arial"/>
          <w:bCs/>
          <w:sz w:val="22"/>
          <w:szCs w:val="22"/>
        </w:rPr>
        <w:t xml:space="preserve"> 9/</w:t>
      </w:r>
      <w:r w:rsidR="005B79D6">
        <w:rPr>
          <w:rFonts w:ascii="Arial" w:hAnsi="Arial" w:cs="Arial"/>
          <w:bCs/>
          <w:sz w:val="22"/>
          <w:szCs w:val="22"/>
        </w:rPr>
        <w:t>10</w:t>
      </w:r>
      <w:r>
        <w:rPr>
          <w:rFonts w:ascii="Arial" w:hAnsi="Arial" w:cs="Arial"/>
          <w:bCs/>
          <w:sz w:val="22"/>
          <w:szCs w:val="22"/>
        </w:rPr>
        <w:t>/201</w:t>
      </w:r>
      <w:r w:rsidR="005B79D6">
        <w:rPr>
          <w:rFonts w:ascii="Arial" w:hAnsi="Arial" w:cs="Arial"/>
          <w:bCs/>
          <w:sz w:val="22"/>
          <w:szCs w:val="22"/>
        </w:rPr>
        <w:t>18</w:t>
      </w:r>
      <w:r>
        <w:rPr>
          <w:rFonts w:ascii="Arial" w:hAnsi="Arial" w:cs="Arial"/>
          <w:bCs/>
          <w:sz w:val="22"/>
          <w:szCs w:val="22"/>
        </w:rPr>
        <w:t xml:space="preserve"> </w:t>
      </w:r>
      <w:r>
        <w:rPr>
          <w:rFonts w:ascii="Arial" w:hAnsi="Arial" w:cs="Arial"/>
          <w:bCs/>
          <w:sz w:val="22"/>
          <w:szCs w:val="18"/>
        </w:rPr>
        <w:t>(Case studies – student led)</w:t>
      </w:r>
    </w:p>
    <w:p w14:paraId="10293E9F" w14:textId="3C4531BD" w:rsidR="00707713" w:rsidRPr="00707713" w:rsidRDefault="00707713" w:rsidP="00707713">
      <w:pPr>
        <w:pStyle w:val="ListParagraph"/>
        <w:widowControl w:val="0"/>
        <w:numPr>
          <w:ilvl w:val="1"/>
          <w:numId w:val="3"/>
        </w:numPr>
        <w:autoSpaceDE w:val="0"/>
        <w:autoSpaceDN w:val="0"/>
        <w:adjustRightInd w:val="0"/>
        <w:rPr>
          <w:rFonts w:ascii="Arial" w:hAnsi="Arial" w:cs="Arial"/>
          <w:bCs/>
          <w:sz w:val="18"/>
          <w:szCs w:val="22"/>
        </w:rPr>
      </w:pPr>
      <w:r w:rsidRPr="00707713">
        <w:rPr>
          <w:rFonts w:ascii="Arial" w:hAnsi="Arial" w:cs="Arial"/>
          <w:bCs/>
          <w:sz w:val="18"/>
          <w:szCs w:val="18"/>
        </w:rPr>
        <w:t xml:space="preserve">Case 23 </w:t>
      </w:r>
      <w:r>
        <w:rPr>
          <w:rFonts w:ascii="Arial" w:hAnsi="Arial" w:cs="Arial"/>
          <w:bCs/>
          <w:sz w:val="18"/>
          <w:szCs w:val="18"/>
        </w:rPr>
        <w:t>–</w:t>
      </w:r>
      <w:r w:rsidRPr="00707713">
        <w:rPr>
          <w:rFonts w:ascii="Arial" w:hAnsi="Arial" w:cs="Arial"/>
          <w:bCs/>
          <w:sz w:val="18"/>
          <w:szCs w:val="18"/>
        </w:rPr>
        <w:t xml:space="preserve"> </w:t>
      </w:r>
      <w:r>
        <w:rPr>
          <w:rFonts w:ascii="Arial" w:hAnsi="Arial" w:cs="Arial"/>
          <w:bCs/>
          <w:sz w:val="18"/>
          <w:szCs w:val="18"/>
        </w:rPr>
        <w:t xml:space="preserve">X-Linked Hypohidrotic Ectodermal Dysplasia and Immunodeficiency </w:t>
      </w:r>
      <w:r w:rsidRPr="00707713">
        <w:rPr>
          <w:rFonts w:ascii="Arial" w:hAnsi="Arial" w:cs="Arial"/>
          <w:bCs/>
          <w:sz w:val="18"/>
          <w:szCs w:val="18"/>
          <w:highlight w:val="cyan"/>
        </w:rPr>
        <w:t>(Student led)</w:t>
      </w:r>
    </w:p>
    <w:p w14:paraId="3BB882FB" w14:textId="0E119EAC" w:rsidR="00707713" w:rsidRPr="00707713" w:rsidRDefault="00707713" w:rsidP="00707713">
      <w:pPr>
        <w:pStyle w:val="ListParagraph"/>
        <w:widowControl w:val="0"/>
        <w:numPr>
          <w:ilvl w:val="1"/>
          <w:numId w:val="3"/>
        </w:numPr>
        <w:autoSpaceDE w:val="0"/>
        <w:autoSpaceDN w:val="0"/>
        <w:adjustRightInd w:val="0"/>
        <w:rPr>
          <w:rFonts w:ascii="Arial" w:hAnsi="Arial" w:cs="Arial"/>
          <w:bCs/>
          <w:sz w:val="18"/>
          <w:szCs w:val="22"/>
        </w:rPr>
      </w:pPr>
      <w:r>
        <w:rPr>
          <w:rFonts w:ascii="Arial" w:hAnsi="Arial" w:cs="Arial"/>
          <w:bCs/>
          <w:sz w:val="18"/>
          <w:szCs w:val="18"/>
        </w:rPr>
        <w:t xml:space="preserve">Case 24 – Interferon-γ Receptor Deficiency </w:t>
      </w:r>
      <w:r w:rsidRPr="00707713">
        <w:rPr>
          <w:rFonts w:ascii="Arial" w:hAnsi="Arial" w:cs="Arial"/>
          <w:bCs/>
          <w:sz w:val="18"/>
          <w:szCs w:val="18"/>
          <w:highlight w:val="cyan"/>
        </w:rPr>
        <w:t>(Student led)</w:t>
      </w:r>
    </w:p>
    <w:p w14:paraId="450FFE01" w14:textId="77777777" w:rsidR="00697975" w:rsidRDefault="00697975" w:rsidP="0035474C">
      <w:pPr>
        <w:widowControl w:val="0"/>
        <w:autoSpaceDE w:val="0"/>
        <w:autoSpaceDN w:val="0"/>
        <w:adjustRightInd w:val="0"/>
        <w:rPr>
          <w:rFonts w:ascii="Arial" w:hAnsi="Arial" w:cs="Arial"/>
          <w:bCs/>
          <w:sz w:val="22"/>
          <w:szCs w:val="22"/>
        </w:rPr>
      </w:pPr>
    </w:p>
    <w:p w14:paraId="490D1186" w14:textId="5448116A" w:rsidR="00D15CB5" w:rsidRPr="00435189" w:rsidRDefault="00104BC2" w:rsidP="0035474C">
      <w:pPr>
        <w:widowControl w:val="0"/>
        <w:autoSpaceDE w:val="0"/>
        <w:autoSpaceDN w:val="0"/>
        <w:adjustRightInd w:val="0"/>
        <w:rPr>
          <w:rFonts w:ascii="Arial" w:hAnsi="Arial" w:cs="Arial"/>
          <w:b/>
          <w:bCs/>
          <w:sz w:val="22"/>
          <w:szCs w:val="22"/>
        </w:rPr>
      </w:pPr>
      <w:r w:rsidRPr="00435189">
        <w:rPr>
          <w:rFonts w:ascii="Arial" w:hAnsi="Arial" w:cs="Arial"/>
          <w:b/>
          <w:bCs/>
          <w:sz w:val="22"/>
          <w:szCs w:val="22"/>
        </w:rPr>
        <w:t xml:space="preserve">Week </w:t>
      </w:r>
      <w:r w:rsidR="00697975" w:rsidRPr="00435189">
        <w:rPr>
          <w:rFonts w:ascii="Arial" w:hAnsi="Arial" w:cs="Arial"/>
          <w:b/>
          <w:bCs/>
          <w:sz w:val="22"/>
          <w:szCs w:val="22"/>
        </w:rPr>
        <w:t>4 (dendritic cells)</w:t>
      </w:r>
      <w:r w:rsidRPr="00435189">
        <w:rPr>
          <w:rFonts w:ascii="Arial" w:hAnsi="Arial" w:cs="Arial"/>
          <w:b/>
          <w:bCs/>
          <w:sz w:val="22"/>
          <w:szCs w:val="22"/>
        </w:rPr>
        <w:t>:</w:t>
      </w:r>
    </w:p>
    <w:p w14:paraId="14DB5C2A" w14:textId="77777777" w:rsidR="00104BC2" w:rsidRDefault="00104BC2" w:rsidP="0035474C">
      <w:pPr>
        <w:widowControl w:val="0"/>
        <w:autoSpaceDE w:val="0"/>
        <w:autoSpaceDN w:val="0"/>
        <w:adjustRightInd w:val="0"/>
        <w:rPr>
          <w:rFonts w:ascii="Arial" w:hAnsi="Arial" w:cs="Arial"/>
          <w:bCs/>
          <w:sz w:val="22"/>
          <w:szCs w:val="22"/>
        </w:rPr>
      </w:pPr>
    </w:p>
    <w:p w14:paraId="015B9091" w14:textId="27EDEC03" w:rsidR="0035433A" w:rsidRDefault="00CD1E14" w:rsidP="0035433A">
      <w:pPr>
        <w:pStyle w:val="ListParagraph"/>
        <w:widowControl w:val="0"/>
        <w:numPr>
          <w:ilvl w:val="0"/>
          <w:numId w:val="3"/>
        </w:numPr>
        <w:autoSpaceDE w:val="0"/>
        <w:autoSpaceDN w:val="0"/>
        <w:adjustRightInd w:val="0"/>
        <w:rPr>
          <w:rFonts w:ascii="Arial" w:hAnsi="Arial" w:cs="Arial"/>
          <w:bCs/>
          <w:sz w:val="22"/>
          <w:szCs w:val="22"/>
        </w:rPr>
      </w:pPr>
      <w:r w:rsidRPr="00F877EA">
        <w:rPr>
          <w:rFonts w:ascii="Arial" w:hAnsi="Arial" w:cs="Arial"/>
          <w:bCs/>
          <w:sz w:val="22"/>
          <w:szCs w:val="22"/>
        </w:rPr>
        <w:t xml:space="preserve">Session </w:t>
      </w:r>
      <w:r w:rsidR="0035433A">
        <w:rPr>
          <w:rFonts w:ascii="Arial" w:hAnsi="Arial" w:cs="Arial"/>
          <w:bCs/>
          <w:sz w:val="22"/>
          <w:szCs w:val="22"/>
        </w:rPr>
        <w:t>10</w:t>
      </w:r>
      <w:r w:rsidRPr="00F877EA">
        <w:rPr>
          <w:rFonts w:ascii="Arial" w:hAnsi="Arial" w:cs="Arial"/>
          <w:bCs/>
          <w:sz w:val="22"/>
          <w:szCs w:val="22"/>
        </w:rPr>
        <w:t xml:space="preserve"> </w:t>
      </w:r>
      <w:r w:rsidR="00F85F34">
        <w:rPr>
          <w:rFonts w:ascii="Arial" w:hAnsi="Arial" w:cs="Arial"/>
          <w:bCs/>
          <w:sz w:val="22"/>
          <w:szCs w:val="22"/>
        </w:rPr>
        <w:t>–</w:t>
      </w:r>
      <w:r w:rsidRPr="00F877EA">
        <w:rPr>
          <w:rFonts w:ascii="Arial" w:hAnsi="Arial" w:cs="Arial"/>
          <w:bCs/>
          <w:sz w:val="22"/>
          <w:szCs w:val="22"/>
        </w:rPr>
        <w:t xml:space="preserve"> </w:t>
      </w:r>
      <w:r w:rsidR="002419F0">
        <w:rPr>
          <w:rFonts w:ascii="Arial" w:hAnsi="Arial" w:cs="Arial"/>
          <w:bCs/>
          <w:sz w:val="22"/>
          <w:szCs w:val="22"/>
        </w:rPr>
        <w:t>Wed</w:t>
      </w:r>
      <w:r w:rsidR="0035433A">
        <w:rPr>
          <w:rFonts w:ascii="Arial" w:hAnsi="Arial" w:cs="Arial"/>
          <w:bCs/>
          <w:sz w:val="22"/>
          <w:szCs w:val="22"/>
        </w:rPr>
        <w:t xml:space="preserve"> 9/12/201</w:t>
      </w:r>
      <w:r w:rsidR="002419F0">
        <w:rPr>
          <w:rFonts w:ascii="Arial" w:hAnsi="Arial" w:cs="Arial"/>
          <w:bCs/>
          <w:sz w:val="22"/>
          <w:szCs w:val="22"/>
        </w:rPr>
        <w:t>8</w:t>
      </w:r>
      <w:r w:rsidR="0035433A">
        <w:rPr>
          <w:rFonts w:ascii="Arial" w:hAnsi="Arial" w:cs="Arial"/>
          <w:bCs/>
          <w:sz w:val="22"/>
          <w:szCs w:val="22"/>
        </w:rPr>
        <w:t xml:space="preserve"> (Wallet lecture)</w:t>
      </w:r>
    </w:p>
    <w:p w14:paraId="395DA64E" w14:textId="30C5B696" w:rsidR="00104BC2" w:rsidRPr="0035433A" w:rsidRDefault="0035433A" w:rsidP="0035433A">
      <w:pPr>
        <w:pStyle w:val="ListParagraph"/>
        <w:widowControl w:val="0"/>
        <w:numPr>
          <w:ilvl w:val="1"/>
          <w:numId w:val="3"/>
        </w:numPr>
        <w:autoSpaceDE w:val="0"/>
        <w:autoSpaceDN w:val="0"/>
        <w:adjustRightInd w:val="0"/>
        <w:rPr>
          <w:rFonts w:ascii="Arial" w:hAnsi="Arial" w:cs="Arial"/>
          <w:bCs/>
          <w:sz w:val="22"/>
          <w:szCs w:val="22"/>
        </w:rPr>
      </w:pPr>
      <w:r w:rsidRPr="0035433A">
        <w:rPr>
          <w:rFonts w:ascii="Arial" w:hAnsi="Arial" w:cs="Arial"/>
          <w:bCs/>
          <w:sz w:val="18"/>
          <w:szCs w:val="18"/>
        </w:rPr>
        <w:t>Dendritic cells</w:t>
      </w:r>
    </w:p>
    <w:p w14:paraId="40C3C130" w14:textId="77777777" w:rsidR="0035433A" w:rsidRPr="0035433A" w:rsidRDefault="0035433A" w:rsidP="0035433A">
      <w:pPr>
        <w:widowControl w:val="0"/>
        <w:autoSpaceDE w:val="0"/>
        <w:autoSpaceDN w:val="0"/>
        <w:adjustRightInd w:val="0"/>
        <w:rPr>
          <w:rFonts w:ascii="Arial" w:hAnsi="Arial" w:cs="Arial"/>
          <w:bCs/>
          <w:sz w:val="22"/>
          <w:szCs w:val="22"/>
        </w:rPr>
      </w:pPr>
    </w:p>
    <w:p w14:paraId="667A4D33" w14:textId="7C65FB7A" w:rsidR="0035433A" w:rsidRDefault="0035433A" w:rsidP="0035433A">
      <w:pPr>
        <w:pStyle w:val="ListParagraph"/>
        <w:widowControl w:val="0"/>
        <w:numPr>
          <w:ilvl w:val="0"/>
          <w:numId w:val="3"/>
        </w:numPr>
        <w:autoSpaceDE w:val="0"/>
        <w:autoSpaceDN w:val="0"/>
        <w:adjustRightInd w:val="0"/>
        <w:rPr>
          <w:rFonts w:ascii="Arial" w:hAnsi="Arial" w:cs="Arial"/>
          <w:bCs/>
          <w:sz w:val="22"/>
          <w:szCs w:val="22"/>
        </w:rPr>
      </w:pPr>
      <w:r w:rsidRPr="0035433A">
        <w:rPr>
          <w:rFonts w:ascii="Arial" w:hAnsi="Arial" w:cs="Arial"/>
          <w:bCs/>
          <w:sz w:val="22"/>
          <w:szCs w:val="18"/>
        </w:rPr>
        <w:t xml:space="preserve">Session 11 – </w:t>
      </w:r>
      <w:r w:rsidR="002419F0">
        <w:rPr>
          <w:rFonts w:ascii="Arial" w:hAnsi="Arial" w:cs="Arial"/>
          <w:bCs/>
          <w:sz w:val="22"/>
          <w:szCs w:val="18"/>
        </w:rPr>
        <w:t>Fri</w:t>
      </w:r>
      <w:r w:rsidRPr="0035433A">
        <w:rPr>
          <w:rFonts w:ascii="Arial" w:hAnsi="Arial" w:cs="Arial"/>
          <w:bCs/>
          <w:sz w:val="22"/>
          <w:szCs w:val="18"/>
        </w:rPr>
        <w:t xml:space="preserve"> 9/14/201</w:t>
      </w:r>
      <w:r w:rsidR="002419F0">
        <w:rPr>
          <w:rFonts w:ascii="Arial" w:hAnsi="Arial" w:cs="Arial"/>
          <w:bCs/>
          <w:sz w:val="22"/>
          <w:szCs w:val="18"/>
        </w:rPr>
        <w:t>8</w:t>
      </w:r>
      <w:r w:rsidRPr="0035433A">
        <w:rPr>
          <w:rFonts w:ascii="Arial" w:hAnsi="Arial" w:cs="Arial"/>
          <w:bCs/>
          <w:sz w:val="22"/>
          <w:szCs w:val="18"/>
        </w:rPr>
        <w:t xml:space="preserve"> </w:t>
      </w:r>
      <w:r>
        <w:rPr>
          <w:rFonts w:ascii="Arial" w:hAnsi="Arial" w:cs="Arial"/>
          <w:bCs/>
          <w:sz w:val="22"/>
          <w:szCs w:val="22"/>
        </w:rPr>
        <w:t>(Literature discussion – student led)</w:t>
      </w:r>
    </w:p>
    <w:p w14:paraId="1AE66C7C" w14:textId="162A50A9" w:rsidR="0035433A" w:rsidRPr="0035433A" w:rsidRDefault="00296CF8" w:rsidP="0035433A">
      <w:pPr>
        <w:pStyle w:val="ListParagraph"/>
        <w:widowControl w:val="0"/>
        <w:numPr>
          <w:ilvl w:val="1"/>
          <w:numId w:val="3"/>
        </w:numPr>
        <w:autoSpaceDE w:val="0"/>
        <w:autoSpaceDN w:val="0"/>
        <w:adjustRightInd w:val="0"/>
        <w:rPr>
          <w:rFonts w:ascii="Arial" w:hAnsi="Arial" w:cs="Arial"/>
          <w:bCs/>
          <w:sz w:val="22"/>
          <w:szCs w:val="22"/>
        </w:rPr>
      </w:pPr>
      <w:r w:rsidRPr="0035433A">
        <w:rPr>
          <w:rFonts w:ascii="Arial" w:hAnsi="Arial" w:cs="Arial"/>
          <w:bCs/>
          <w:sz w:val="18"/>
          <w:szCs w:val="18"/>
        </w:rPr>
        <w:t xml:space="preserve">Steinman and Cohn. </w:t>
      </w:r>
      <w:r w:rsidR="00CD1E14" w:rsidRPr="0035433A">
        <w:rPr>
          <w:rFonts w:ascii="Arial" w:hAnsi="Arial" w:cs="Arial"/>
          <w:bCs/>
          <w:sz w:val="18"/>
          <w:szCs w:val="18"/>
        </w:rPr>
        <w:t>Identification of a novel cell type in peripheral lymphoid organs of mice</w:t>
      </w:r>
      <w:r w:rsidRPr="0035433A">
        <w:rPr>
          <w:rFonts w:ascii="Arial" w:hAnsi="Arial" w:cs="Arial"/>
          <w:bCs/>
          <w:sz w:val="18"/>
          <w:szCs w:val="18"/>
        </w:rPr>
        <w:t>. I. Morphology, quantitation, tissue distribution [PMID 4573839]</w:t>
      </w:r>
      <w:r w:rsidR="0035433A">
        <w:rPr>
          <w:rFonts w:ascii="Arial" w:hAnsi="Arial" w:cs="Arial"/>
          <w:bCs/>
          <w:sz w:val="18"/>
          <w:szCs w:val="18"/>
        </w:rPr>
        <w:t xml:space="preserve"> </w:t>
      </w:r>
      <w:r w:rsidR="0035433A" w:rsidRPr="00707713">
        <w:rPr>
          <w:rFonts w:ascii="Arial" w:hAnsi="Arial" w:cs="Arial"/>
          <w:bCs/>
          <w:sz w:val="18"/>
          <w:szCs w:val="18"/>
          <w:highlight w:val="green"/>
        </w:rPr>
        <w:t>(Independent reading)</w:t>
      </w:r>
    </w:p>
    <w:p w14:paraId="3566D7AC" w14:textId="46728DBE" w:rsidR="0035433A" w:rsidRPr="0035433A" w:rsidRDefault="00296CF8" w:rsidP="0035433A">
      <w:pPr>
        <w:pStyle w:val="ListParagraph"/>
        <w:widowControl w:val="0"/>
        <w:numPr>
          <w:ilvl w:val="1"/>
          <w:numId w:val="3"/>
        </w:numPr>
        <w:autoSpaceDE w:val="0"/>
        <w:autoSpaceDN w:val="0"/>
        <w:adjustRightInd w:val="0"/>
        <w:rPr>
          <w:rFonts w:ascii="Arial" w:hAnsi="Arial" w:cs="Arial"/>
          <w:bCs/>
          <w:sz w:val="22"/>
          <w:szCs w:val="22"/>
        </w:rPr>
      </w:pPr>
      <w:r w:rsidRPr="0035433A">
        <w:rPr>
          <w:rFonts w:ascii="Arial" w:hAnsi="Arial" w:cs="Arial"/>
          <w:bCs/>
          <w:sz w:val="18"/>
          <w:szCs w:val="18"/>
        </w:rPr>
        <w:t xml:space="preserve">Steinman and Cohn. Identification of a novel cell type in peripheral lymphoid organs of mice. II. Functional properties </w:t>
      </w:r>
      <w:r w:rsidRPr="0035433A">
        <w:rPr>
          <w:rFonts w:ascii="Arial" w:hAnsi="Arial" w:cs="Arial"/>
          <w:bCs/>
          <w:i/>
          <w:sz w:val="18"/>
          <w:szCs w:val="18"/>
        </w:rPr>
        <w:t>in vitro</w:t>
      </w:r>
      <w:r w:rsidRPr="0035433A">
        <w:rPr>
          <w:rFonts w:ascii="Arial" w:hAnsi="Arial" w:cs="Arial"/>
          <w:bCs/>
          <w:sz w:val="18"/>
          <w:szCs w:val="18"/>
        </w:rPr>
        <w:t xml:space="preserve"> [PMID 4589990]</w:t>
      </w:r>
      <w:r w:rsidR="0035433A">
        <w:rPr>
          <w:rFonts w:ascii="Arial" w:hAnsi="Arial" w:cs="Arial"/>
          <w:bCs/>
          <w:sz w:val="18"/>
          <w:szCs w:val="18"/>
        </w:rPr>
        <w:t xml:space="preserve"> </w:t>
      </w:r>
      <w:r w:rsidR="0035433A" w:rsidRPr="00707713">
        <w:rPr>
          <w:rFonts w:ascii="Arial" w:hAnsi="Arial" w:cs="Arial"/>
          <w:bCs/>
          <w:sz w:val="18"/>
          <w:szCs w:val="18"/>
          <w:highlight w:val="cyan"/>
        </w:rPr>
        <w:t>(Student led)</w:t>
      </w:r>
    </w:p>
    <w:p w14:paraId="094F70EC" w14:textId="31B6BFD4" w:rsidR="00296CF8" w:rsidRPr="0035433A" w:rsidRDefault="00296CF8" w:rsidP="0035433A">
      <w:pPr>
        <w:pStyle w:val="ListParagraph"/>
        <w:widowControl w:val="0"/>
        <w:numPr>
          <w:ilvl w:val="1"/>
          <w:numId w:val="3"/>
        </w:numPr>
        <w:autoSpaceDE w:val="0"/>
        <w:autoSpaceDN w:val="0"/>
        <w:adjustRightInd w:val="0"/>
        <w:rPr>
          <w:rFonts w:ascii="Arial" w:hAnsi="Arial" w:cs="Arial"/>
          <w:bCs/>
          <w:sz w:val="22"/>
          <w:szCs w:val="22"/>
        </w:rPr>
      </w:pPr>
      <w:r w:rsidRPr="0035433A">
        <w:rPr>
          <w:rFonts w:ascii="Arial" w:hAnsi="Arial" w:cs="Arial"/>
          <w:bCs/>
          <w:sz w:val="18"/>
          <w:szCs w:val="18"/>
        </w:rPr>
        <w:t xml:space="preserve">Steinman and Cohn. Identification of a novel cell type in peripheral lymphoid organs of mice. III. Functional properties </w:t>
      </w:r>
      <w:r w:rsidRPr="0035433A">
        <w:rPr>
          <w:rFonts w:ascii="Arial" w:hAnsi="Arial" w:cs="Arial"/>
          <w:bCs/>
          <w:i/>
          <w:sz w:val="18"/>
          <w:szCs w:val="18"/>
        </w:rPr>
        <w:t>in vivo</w:t>
      </w:r>
      <w:r w:rsidRPr="0035433A">
        <w:rPr>
          <w:rFonts w:ascii="Arial" w:hAnsi="Arial" w:cs="Arial"/>
          <w:bCs/>
          <w:sz w:val="18"/>
          <w:szCs w:val="18"/>
        </w:rPr>
        <w:t xml:space="preserve"> [PMID 4598015]</w:t>
      </w:r>
      <w:r w:rsidR="0035433A">
        <w:rPr>
          <w:rFonts w:ascii="Arial" w:hAnsi="Arial" w:cs="Arial"/>
          <w:bCs/>
          <w:sz w:val="18"/>
          <w:szCs w:val="18"/>
        </w:rPr>
        <w:t xml:space="preserve"> </w:t>
      </w:r>
      <w:r w:rsidR="0035433A" w:rsidRPr="00707713">
        <w:rPr>
          <w:rFonts w:ascii="Arial" w:hAnsi="Arial" w:cs="Arial"/>
          <w:bCs/>
          <w:sz w:val="18"/>
          <w:szCs w:val="18"/>
          <w:highlight w:val="cyan"/>
        </w:rPr>
        <w:t>(Student led)</w:t>
      </w:r>
    </w:p>
    <w:p w14:paraId="2D6954E8" w14:textId="77777777" w:rsidR="00CD1E14" w:rsidRDefault="00CD1E14" w:rsidP="0035474C">
      <w:pPr>
        <w:widowControl w:val="0"/>
        <w:autoSpaceDE w:val="0"/>
        <w:autoSpaceDN w:val="0"/>
        <w:adjustRightInd w:val="0"/>
        <w:rPr>
          <w:rFonts w:ascii="Arial" w:hAnsi="Arial" w:cs="Arial"/>
          <w:bCs/>
          <w:sz w:val="22"/>
          <w:szCs w:val="22"/>
        </w:rPr>
      </w:pPr>
    </w:p>
    <w:p w14:paraId="7B1E3CF4" w14:textId="261E3FE4" w:rsidR="00B221D1" w:rsidRPr="00D216D1" w:rsidRDefault="00BC69F9" w:rsidP="0035474C">
      <w:pPr>
        <w:pStyle w:val="ListParagraph"/>
        <w:widowControl w:val="0"/>
        <w:numPr>
          <w:ilvl w:val="0"/>
          <w:numId w:val="3"/>
        </w:numPr>
        <w:autoSpaceDE w:val="0"/>
        <w:autoSpaceDN w:val="0"/>
        <w:adjustRightInd w:val="0"/>
        <w:rPr>
          <w:rFonts w:ascii="Arial" w:hAnsi="Arial" w:cs="Arial"/>
          <w:bCs/>
          <w:sz w:val="22"/>
          <w:szCs w:val="22"/>
        </w:rPr>
      </w:pPr>
      <w:r w:rsidRPr="00E629B0">
        <w:rPr>
          <w:rFonts w:ascii="Arial" w:hAnsi="Arial" w:cs="Arial"/>
          <w:bCs/>
          <w:sz w:val="22"/>
          <w:szCs w:val="22"/>
        </w:rPr>
        <w:t xml:space="preserve">Session </w:t>
      </w:r>
      <w:r w:rsidR="0035433A">
        <w:rPr>
          <w:rFonts w:ascii="Arial" w:hAnsi="Arial" w:cs="Arial"/>
          <w:bCs/>
          <w:sz w:val="22"/>
          <w:szCs w:val="22"/>
        </w:rPr>
        <w:t>12</w:t>
      </w:r>
      <w:r w:rsidRPr="00E629B0">
        <w:rPr>
          <w:rFonts w:ascii="Arial" w:hAnsi="Arial" w:cs="Arial"/>
          <w:bCs/>
          <w:sz w:val="22"/>
          <w:szCs w:val="22"/>
        </w:rPr>
        <w:t xml:space="preserve"> – </w:t>
      </w:r>
      <w:r w:rsidR="002419F0">
        <w:rPr>
          <w:rFonts w:ascii="Arial" w:hAnsi="Arial" w:cs="Arial"/>
          <w:bCs/>
          <w:sz w:val="22"/>
          <w:szCs w:val="22"/>
        </w:rPr>
        <w:t>Mon</w:t>
      </w:r>
      <w:r w:rsidR="0035433A">
        <w:rPr>
          <w:rFonts w:ascii="Arial" w:hAnsi="Arial" w:cs="Arial"/>
          <w:bCs/>
          <w:sz w:val="22"/>
          <w:szCs w:val="22"/>
        </w:rPr>
        <w:t xml:space="preserve"> 9/1</w:t>
      </w:r>
      <w:r w:rsidR="002419F0">
        <w:rPr>
          <w:rFonts w:ascii="Arial" w:hAnsi="Arial" w:cs="Arial"/>
          <w:bCs/>
          <w:sz w:val="22"/>
          <w:szCs w:val="22"/>
        </w:rPr>
        <w:t>7</w:t>
      </w:r>
      <w:r w:rsidR="0035433A">
        <w:rPr>
          <w:rFonts w:ascii="Arial" w:hAnsi="Arial" w:cs="Arial"/>
          <w:bCs/>
          <w:sz w:val="22"/>
          <w:szCs w:val="22"/>
        </w:rPr>
        <w:t>/201</w:t>
      </w:r>
      <w:r w:rsidR="002419F0">
        <w:rPr>
          <w:rFonts w:ascii="Arial" w:hAnsi="Arial" w:cs="Arial"/>
          <w:bCs/>
          <w:sz w:val="22"/>
          <w:szCs w:val="22"/>
        </w:rPr>
        <w:t>8</w:t>
      </w:r>
      <w:r w:rsidR="0035433A">
        <w:rPr>
          <w:rFonts w:ascii="Arial" w:hAnsi="Arial" w:cs="Arial"/>
          <w:bCs/>
          <w:sz w:val="22"/>
          <w:szCs w:val="22"/>
        </w:rPr>
        <w:t xml:space="preserve"> </w:t>
      </w:r>
      <w:r w:rsidR="0035433A">
        <w:rPr>
          <w:rFonts w:ascii="Arial" w:hAnsi="Arial" w:cs="Arial"/>
          <w:bCs/>
          <w:sz w:val="22"/>
          <w:szCs w:val="18"/>
        </w:rPr>
        <w:t>(</w:t>
      </w:r>
      <w:r w:rsidR="00D216D1">
        <w:rPr>
          <w:rFonts w:ascii="Arial" w:hAnsi="Arial" w:cs="Arial"/>
          <w:bCs/>
          <w:sz w:val="22"/>
          <w:szCs w:val="18"/>
        </w:rPr>
        <w:t>Review Paper</w:t>
      </w:r>
      <w:r w:rsidR="0035433A">
        <w:rPr>
          <w:rFonts w:ascii="Arial" w:hAnsi="Arial" w:cs="Arial"/>
          <w:bCs/>
          <w:sz w:val="22"/>
          <w:szCs w:val="18"/>
        </w:rPr>
        <w:t xml:space="preserve"> / </w:t>
      </w:r>
      <w:r w:rsidR="00D216D1">
        <w:rPr>
          <w:rFonts w:ascii="Arial" w:hAnsi="Arial" w:cs="Arial"/>
          <w:bCs/>
          <w:sz w:val="22"/>
          <w:szCs w:val="18"/>
        </w:rPr>
        <w:t>Case Study – student led</w:t>
      </w:r>
      <w:r w:rsidR="0035433A">
        <w:rPr>
          <w:rFonts w:ascii="Arial" w:hAnsi="Arial" w:cs="Arial"/>
          <w:bCs/>
          <w:sz w:val="22"/>
          <w:szCs w:val="18"/>
        </w:rPr>
        <w:t>)</w:t>
      </w:r>
    </w:p>
    <w:p w14:paraId="70EB0901" w14:textId="49A4C868" w:rsidR="00D216D1" w:rsidRPr="00D216D1" w:rsidRDefault="00D216D1" w:rsidP="00D216D1">
      <w:pPr>
        <w:pStyle w:val="ListParagraph"/>
        <w:widowControl w:val="0"/>
        <w:numPr>
          <w:ilvl w:val="1"/>
          <w:numId w:val="3"/>
        </w:numPr>
        <w:autoSpaceDE w:val="0"/>
        <w:autoSpaceDN w:val="0"/>
        <w:adjustRightInd w:val="0"/>
        <w:rPr>
          <w:rFonts w:ascii="Arial" w:hAnsi="Arial" w:cs="Arial"/>
          <w:bCs/>
          <w:sz w:val="18"/>
          <w:szCs w:val="22"/>
        </w:rPr>
      </w:pPr>
      <w:r w:rsidRPr="00D216D1">
        <w:rPr>
          <w:rFonts w:ascii="Arial" w:hAnsi="Arial" w:cs="Arial"/>
          <w:bCs/>
          <w:sz w:val="18"/>
          <w:szCs w:val="18"/>
        </w:rPr>
        <w:t>Collin M, et. al. Human dendritic cell deficiency: the missing ID? [PMID 21852794]</w:t>
      </w:r>
      <w:r w:rsidRPr="00D216D1">
        <w:rPr>
          <w:rFonts w:ascii="Arial" w:hAnsi="Arial" w:cs="Arial"/>
          <w:bCs/>
          <w:sz w:val="18"/>
          <w:szCs w:val="18"/>
          <w:highlight w:val="cyan"/>
        </w:rPr>
        <w:t xml:space="preserve"> </w:t>
      </w:r>
      <w:r w:rsidRPr="00707713">
        <w:rPr>
          <w:rFonts w:ascii="Arial" w:hAnsi="Arial" w:cs="Arial"/>
          <w:bCs/>
          <w:sz w:val="18"/>
          <w:szCs w:val="18"/>
          <w:highlight w:val="cyan"/>
        </w:rPr>
        <w:t>(Student led)</w:t>
      </w:r>
    </w:p>
    <w:p w14:paraId="5C529AB2" w14:textId="5CE5587D" w:rsidR="00D216D1" w:rsidRPr="00D216D1" w:rsidRDefault="00D216D1" w:rsidP="00D216D1">
      <w:pPr>
        <w:pStyle w:val="ListParagraph"/>
        <w:widowControl w:val="0"/>
        <w:numPr>
          <w:ilvl w:val="1"/>
          <w:numId w:val="3"/>
        </w:numPr>
        <w:autoSpaceDE w:val="0"/>
        <w:autoSpaceDN w:val="0"/>
        <w:adjustRightInd w:val="0"/>
        <w:rPr>
          <w:rFonts w:ascii="Arial" w:hAnsi="Arial" w:cs="Arial"/>
          <w:bCs/>
          <w:sz w:val="22"/>
          <w:szCs w:val="22"/>
        </w:rPr>
      </w:pPr>
      <w:r>
        <w:rPr>
          <w:rFonts w:ascii="Arial" w:hAnsi="Arial" w:cs="Arial"/>
          <w:bCs/>
          <w:sz w:val="18"/>
          <w:szCs w:val="22"/>
        </w:rPr>
        <w:t xml:space="preserve">Case 49 – Contact Sensitivity to Poison Ivy </w:t>
      </w:r>
      <w:r w:rsidRPr="00707713">
        <w:rPr>
          <w:rFonts w:ascii="Arial" w:hAnsi="Arial" w:cs="Arial"/>
          <w:bCs/>
          <w:sz w:val="18"/>
          <w:szCs w:val="18"/>
          <w:highlight w:val="cyan"/>
        </w:rPr>
        <w:t>(Student led)</w:t>
      </w:r>
    </w:p>
    <w:p w14:paraId="65808C0C" w14:textId="77777777" w:rsidR="00D216D1" w:rsidRDefault="00D216D1" w:rsidP="00E9216A">
      <w:pPr>
        <w:widowControl w:val="0"/>
        <w:autoSpaceDE w:val="0"/>
        <w:autoSpaceDN w:val="0"/>
        <w:adjustRightInd w:val="0"/>
        <w:spacing w:after="240"/>
        <w:contextualSpacing/>
        <w:rPr>
          <w:rFonts w:ascii="Arial" w:hAnsi="Arial" w:cs="Arial"/>
          <w:b/>
          <w:sz w:val="22"/>
          <w:szCs w:val="22"/>
        </w:rPr>
      </w:pPr>
    </w:p>
    <w:p w14:paraId="01F8B909" w14:textId="47613AD7" w:rsidR="0035474C" w:rsidRDefault="00697975" w:rsidP="00E9216A">
      <w:pPr>
        <w:widowControl w:val="0"/>
        <w:autoSpaceDE w:val="0"/>
        <w:autoSpaceDN w:val="0"/>
        <w:adjustRightInd w:val="0"/>
        <w:spacing w:after="240"/>
        <w:contextualSpacing/>
        <w:rPr>
          <w:rFonts w:ascii="Arial" w:hAnsi="Arial" w:cs="Arial"/>
          <w:b/>
          <w:sz w:val="22"/>
          <w:szCs w:val="22"/>
        </w:rPr>
      </w:pPr>
      <w:r w:rsidRPr="000104BB">
        <w:rPr>
          <w:rFonts w:ascii="Arial" w:hAnsi="Arial" w:cs="Arial"/>
          <w:b/>
          <w:sz w:val="22"/>
          <w:szCs w:val="22"/>
        </w:rPr>
        <w:t>Week 5 (natural killer cells):</w:t>
      </w:r>
    </w:p>
    <w:p w14:paraId="11E16D3A" w14:textId="32A8CF7C" w:rsidR="00E9216A" w:rsidRDefault="00E9216A" w:rsidP="00E9216A">
      <w:pPr>
        <w:pStyle w:val="ListParagraph"/>
        <w:widowControl w:val="0"/>
        <w:numPr>
          <w:ilvl w:val="0"/>
          <w:numId w:val="3"/>
        </w:numPr>
        <w:autoSpaceDE w:val="0"/>
        <w:autoSpaceDN w:val="0"/>
        <w:adjustRightInd w:val="0"/>
        <w:rPr>
          <w:rFonts w:ascii="Arial" w:hAnsi="Arial" w:cs="Arial"/>
          <w:bCs/>
          <w:sz w:val="22"/>
          <w:szCs w:val="22"/>
        </w:rPr>
      </w:pPr>
      <w:r w:rsidRPr="00F877EA">
        <w:rPr>
          <w:rFonts w:ascii="Arial" w:hAnsi="Arial" w:cs="Arial"/>
          <w:bCs/>
          <w:sz w:val="22"/>
          <w:szCs w:val="22"/>
        </w:rPr>
        <w:t xml:space="preserve">Session </w:t>
      </w:r>
      <w:r w:rsidR="0004150E">
        <w:rPr>
          <w:rFonts w:ascii="Arial" w:hAnsi="Arial" w:cs="Arial"/>
          <w:bCs/>
          <w:sz w:val="22"/>
          <w:szCs w:val="22"/>
        </w:rPr>
        <w:t>13</w:t>
      </w:r>
      <w:r w:rsidRPr="00F877EA">
        <w:rPr>
          <w:rFonts w:ascii="Arial" w:hAnsi="Arial" w:cs="Arial"/>
          <w:bCs/>
          <w:sz w:val="22"/>
          <w:szCs w:val="22"/>
        </w:rPr>
        <w:t xml:space="preserve"> – </w:t>
      </w:r>
      <w:r w:rsidR="002419F0">
        <w:rPr>
          <w:rFonts w:ascii="Arial" w:hAnsi="Arial" w:cs="Arial"/>
          <w:bCs/>
          <w:sz w:val="22"/>
          <w:szCs w:val="22"/>
        </w:rPr>
        <w:t>Wed</w:t>
      </w:r>
      <w:r w:rsidR="0004150E">
        <w:rPr>
          <w:rFonts w:ascii="Arial" w:hAnsi="Arial" w:cs="Arial"/>
          <w:bCs/>
          <w:sz w:val="22"/>
          <w:szCs w:val="22"/>
        </w:rPr>
        <w:t xml:space="preserve"> 9/19/201</w:t>
      </w:r>
      <w:r w:rsidR="002419F0">
        <w:rPr>
          <w:rFonts w:ascii="Arial" w:hAnsi="Arial" w:cs="Arial"/>
          <w:bCs/>
          <w:sz w:val="22"/>
          <w:szCs w:val="22"/>
        </w:rPr>
        <w:t>8</w:t>
      </w:r>
      <w:r w:rsidR="0004150E">
        <w:rPr>
          <w:rFonts w:ascii="Arial" w:hAnsi="Arial" w:cs="Arial"/>
          <w:bCs/>
          <w:sz w:val="22"/>
          <w:szCs w:val="22"/>
        </w:rPr>
        <w:t xml:space="preserve"> (Wallet lecture)</w:t>
      </w:r>
    </w:p>
    <w:p w14:paraId="31E1FBB6" w14:textId="2244CBB4" w:rsidR="0004150E" w:rsidRDefault="0004150E" w:rsidP="0004150E">
      <w:pPr>
        <w:pStyle w:val="ListParagraph"/>
        <w:widowControl w:val="0"/>
        <w:numPr>
          <w:ilvl w:val="1"/>
          <w:numId w:val="3"/>
        </w:numPr>
        <w:autoSpaceDE w:val="0"/>
        <w:autoSpaceDN w:val="0"/>
        <w:adjustRightInd w:val="0"/>
        <w:rPr>
          <w:rFonts w:ascii="Arial" w:hAnsi="Arial" w:cs="Arial"/>
          <w:bCs/>
          <w:sz w:val="22"/>
          <w:szCs w:val="22"/>
        </w:rPr>
      </w:pPr>
      <w:r>
        <w:rPr>
          <w:rFonts w:ascii="Arial" w:hAnsi="Arial" w:cs="Arial"/>
          <w:bCs/>
          <w:sz w:val="22"/>
          <w:szCs w:val="22"/>
        </w:rPr>
        <w:t>NK Cells</w:t>
      </w:r>
    </w:p>
    <w:p w14:paraId="5562330B" w14:textId="77777777" w:rsidR="0004150E" w:rsidRPr="0004150E" w:rsidRDefault="0004150E" w:rsidP="0004150E">
      <w:pPr>
        <w:widowControl w:val="0"/>
        <w:autoSpaceDE w:val="0"/>
        <w:autoSpaceDN w:val="0"/>
        <w:adjustRightInd w:val="0"/>
        <w:rPr>
          <w:rFonts w:ascii="Arial" w:hAnsi="Arial" w:cs="Arial"/>
          <w:bCs/>
          <w:sz w:val="22"/>
          <w:szCs w:val="22"/>
        </w:rPr>
      </w:pPr>
    </w:p>
    <w:p w14:paraId="44476A4B" w14:textId="3BDA7E5A" w:rsidR="0004150E" w:rsidRPr="00F877EA" w:rsidRDefault="0004150E" w:rsidP="0004150E">
      <w:pPr>
        <w:pStyle w:val="ListParagraph"/>
        <w:widowControl w:val="0"/>
        <w:numPr>
          <w:ilvl w:val="0"/>
          <w:numId w:val="3"/>
        </w:numPr>
        <w:autoSpaceDE w:val="0"/>
        <w:autoSpaceDN w:val="0"/>
        <w:adjustRightInd w:val="0"/>
        <w:rPr>
          <w:rFonts w:ascii="Arial" w:hAnsi="Arial" w:cs="Arial"/>
          <w:bCs/>
          <w:sz w:val="22"/>
          <w:szCs w:val="22"/>
        </w:rPr>
      </w:pPr>
      <w:r>
        <w:rPr>
          <w:rFonts w:ascii="Arial" w:hAnsi="Arial" w:cs="Arial"/>
          <w:bCs/>
          <w:sz w:val="22"/>
          <w:szCs w:val="22"/>
        </w:rPr>
        <w:t xml:space="preserve">Session 14 – </w:t>
      </w:r>
      <w:r w:rsidR="002419F0">
        <w:rPr>
          <w:rFonts w:ascii="Arial" w:hAnsi="Arial" w:cs="Arial"/>
          <w:bCs/>
          <w:sz w:val="22"/>
          <w:szCs w:val="22"/>
        </w:rPr>
        <w:t>Fri</w:t>
      </w:r>
      <w:r>
        <w:rPr>
          <w:rFonts w:ascii="Arial" w:hAnsi="Arial" w:cs="Arial"/>
          <w:bCs/>
          <w:sz w:val="22"/>
          <w:szCs w:val="22"/>
        </w:rPr>
        <w:t xml:space="preserve"> 9/21/201</w:t>
      </w:r>
      <w:r w:rsidR="002419F0">
        <w:rPr>
          <w:rFonts w:ascii="Arial" w:hAnsi="Arial" w:cs="Arial"/>
          <w:bCs/>
          <w:sz w:val="22"/>
          <w:szCs w:val="22"/>
        </w:rPr>
        <w:t>8</w:t>
      </w:r>
      <w:r>
        <w:rPr>
          <w:rFonts w:ascii="Arial" w:hAnsi="Arial" w:cs="Arial"/>
          <w:bCs/>
          <w:sz w:val="22"/>
          <w:szCs w:val="22"/>
        </w:rPr>
        <w:t xml:space="preserve"> (Literature discussion – student led)</w:t>
      </w:r>
    </w:p>
    <w:p w14:paraId="170A5275" w14:textId="0575CEE6" w:rsidR="0004150E" w:rsidRDefault="0004150E" w:rsidP="0004150E">
      <w:pPr>
        <w:pStyle w:val="ListParagraph"/>
        <w:widowControl w:val="0"/>
        <w:numPr>
          <w:ilvl w:val="1"/>
          <w:numId w:val="3"/>
        </w:numPr>
        <w:autoSpaceDE w:val="0"/>
        <w:autoSpaceDN w:val="0"/>
        <w:adjustRightInd w:val="0"/>
        <w:rPr>
          <w:rFonts w:ascii="Arial" w:hAnsi="Arial" w:cs="Arial"/>
          <w:bCs/>
          <w:sz w:val="18"/>
          <w:szCs w:val="18"/>
        </w:rPr>
      </w:pPr>
      <w:r w:rsidRPr="0004150E">
        <w:rPr>
          <w:rFonts w:ascii="Arial" w:hAnsi="Arial" w:cs="Arial"/>
          <w:bCs/>
          <w:sz w:val="18"/>
          <w:szCs w:val="18"/>
        </w:rPr>
        <w:t>Perussia et al. Murine natural killer cells express functiona</w:t>
      </w:r>
      <w:r>
        <w:rPr>
          <w:rFonts w:ascii="Arial" w:hAnsi="Arial" w:cs="Arial"/>
          <w:bCs/>
          <w:sz w:val="18"/>
          <w:szCs w:val="18"/>
        </w:rPr>
        <w:t xml:space="preserve">l Fc gamma receptor II encoded </w:t>
      </w:r>
      <w:r w:rsidRPr="0004150E">
        <w:rPr>
          <w:rFonts w:ascii="Arial" w:hAnsi="Arial" w:cs="Arial"/>
          <w:bCs/>
          <w:sz w:val="18"/>
          <w:szCs w:val="18"/>
        </w:rPr>
        <w:t>by the Fc gamma R alpha gene [PMID 2526196].</w:t>
      </w:r>
      <w:r>
        <w:rPr>
          <w:rFonts w:ascii="Arial" w:hAnsi="Arial" w:cs="Arial"/>
          <w:bCs/>
          <w:sz w:val="18"/>
          <w:szCs w:val="18"/>
        </w:rPr>
        <w:t xml:space="preserve"> </w:t>
      </w:r>
      <w:r w:rsidRPr="00707713">
        <w:rPr>
          <w:rFonts w:ascii="Arial" w:hAnsi="Arial" w:cs="Arial"/>
          <w:bCs/>
          <w:sz w:val="18"/>
          <w:szCs w:val="18"/>
          <w:highlight w:val="green"/>
        </w:rPr>
        <w:t>(Independent reading)</w:t>
      </w:r>
    </w:p>
    <w:p w14:paraId="24AE9E17" w14:textId="0C847646" w:rsidR="0004150E" w:rsidRDefault="0004150E" w:rsidP="0004150E">
      <w:pPr>
        <w:pStyle w:val="ListParagraph"/>
        <w:widowControl w:val="0"/>
        <w:numPr>
          <w:ilvl w:val="1"/>
          <w:numId w:val="3"/>
        </w:numPr>
        <w:autoSpaceDE w:val="0"/>
        <w:autoSpaceDN w:val="0"/>
        <w:adjustRightInd w:val="0"/>
        <w:rPr>
          <w:rFonts w:ascii="Arial" w:hAnsi="Arial" w:cs="Arial"/>
          <w:bCs/>
          <w:sz w:val="18"/>
          <w:szCs w:val="18"/>
        </w:rPr>
      </w:pPr>
      <w:r>
        <w:rPr>
          <w:rFonts w:ascii="Arial" w:hAnsi="Arial" w:cs="Arial"/>
          <w:bCs/>
          <w:sz w:val="18"/>
          <w:szCs w:val="18"/>
        </w:rPr>
        <w:t xml:space="preserve">Liao NS, et al. MHC class I deficiency: susceptibility to natural killer (NK) cells and impaired NK activity [PMID 1853205] </w:t>
      </w:r>
      <w:r w:rsidRPr="00707713">
        <w:rPr>
          <w:rFonts w:ascii="Arial" w:hAnsi="Arial" w:cs="Arial"/>
          <w:bCs/>
          <w:sz w:val="18"/>
          <w:szCs w:val="18"/>
          <w:highlight w:val="cyan"/>
        </w:rPr>
        <w:t>(Student led)</w:t>
      </w:r>
    </w:p>
    <w:p w14:paraId="59F38E01" w14:textId="0AD8231B" w:rsidR="0004150E" w:rsidRDefault="0004150E" w:rsidP="0004150E">
      <w:pPr>
        <w:pStyle w:val="ListParagraph"/>
        <w:widowControl w:val="0"/>
        <w:numPr>
          <w:ilvl w:val="1"/>
          <w:numId w:val="3"/>
        </w:numPr>
        <w:autoSpaceDE w:val="0"/>
        <w:autoSpaceDN w:val="0"/>
        <w:adjustRightInd w:val="0"/>
        <w:rPr>
          <w:rFonts w:ascii="Arial" w:hAnsi="Arial" w:cs="Arial"/>
          <w:bCs/>
          <w:sz w:val="18"/>
          <w:szCs w:val="18"/>
        </w:rPr>
      </w:pPr>
      <w:r>
        <w:rPr>
          <w:rFonts w:ascii="Arial" w:hAnsi="Arial" w:cs="Arial"/>
          <w:bCs/>
          <w:sz w:val="18"/>
          <w:szCs w:val="18"/>
        </w:rPr>
        <w:t xml:space="preserve">Karlhofer et al. MHC class I alloantigen specificity of Ly-49+ IL-2-activated natural killer cells [PMID 1614533]. </w:t>
      </w:r>
      <w:r w:rsidRPr="00707713">
        <w:rPr>
          <w:rFonts w:ascii="Arial" w:hAnsi="Arial" w:cs="Arial"/>
          <w:bCs/>
          <w:sz w:val="18"/>
          <w:szCs w:val="18"/>
          <w:highlight w:val="cyan"/>
        </w:rPr>
        <w:t>(Student led)</w:t>
      </w:r>
    </w:p>
    <w:p w14:paraId="4093C1EE" w14:textId="77777777" w:rsidR="00E9216A" w:rsidRPr="00F877EA" w:rsidRDefault="00E9216A" w:rsidP="00E9216A">
      <w:pPr>
        <w:pStyle w:val="ListParagraph"/>
        <w:widowControl w:val="0"/>
        <w:autoSpaceDE w:val="0"/>
        <w:autoSpaceDN w:val="0"/>
        <w:adjustRightInd w:val="0"/>
        <w:ind w:left="1440"/>
        <w:rPr>
          <w:rFonts w:ascii="Arial" w:hAnsi="Arial" w:cs="Arial"/>
          <w:bCs/>
          <w:sz w:val="18"/>
          <w:szCs w:val="18"/>
        </w:rPr>
      </w:pPr>
    </w:p>
    <w:p w14:paraId="7C7F6601" w14:textId="6F4AF1E1" w:rsidR="0004150E" w:rsidRPr="0004150E" w:rsidRDefault="00E9216A" w:rsidP="0004150E">
      <w:pPr>
        <w:pStyle w:val="ListParagraph"/>
        <w:widowControl w:val="0"/>
        <w:numPr>
          <w:ilvl w:val="0"/>
          <w:numId w:val="3"/>
        </w:numPr>
        <w:autoSpaceDE w:val="0"/>
        <w:autoSpaceDN w:val="0"/>
        <w:adjustRightInd w:val="0"/>
        <w:rPr>
          <w:rFonts w:ascii="Arial" w:hAnsi="Arial" w:cs="Arial"/>
          <w:bCs/>
          <w:sz w:val="22"/>
          <w:szCs w:val="22"/>
        </w:rPr>
      </w:pPr>
      <w:r w:rsidRPr="00E9216A">
        <w:rPr>
          <w:rFonts w:ascii="Arial" w:hAnsi="Arial" w:cs="Arial"/>
          <w:bCs/>
          <w:sz w:val="22"/>
          <w:szCs w:val="22"/>
        </w:rPr>
        <w:t xml:space="preserve">Session </w:t>
      </w:r>
      <w:r>
        <w:rPr>
          <w:rFonts w:ascii="Arial" w:hAnsi="Arial" w:cs="Arial"/>
          <w:bCs/>
          <w:sz w:val="22"/>
          <w:szCs w:val="22"/>
        </w:rPr>
        <w:t>1</w:t>
      </w:r>
      <w:r w:rsidR="0004150E">
        <w:rPr>
          <w:rFonts w:ascii="Arial" w:hAnsi="Arial" w:cs="Arial"/>
          <w:bCs/>
          <w:sz w:val="22"/>
          <w:szCs w:val="22"/>
        </w:rPr>
        <w:t>5</w:t>
      </w:r>
      <w:r w:rsidRPr="00E9216A">
        <w:rPr>
          <w:rFonts w:ascii="Arial" w:hAnsi="Arial" w:cs="Arial"/>
          <w:bCs/>
          <w:sz w:val="22"/>
          <w:szCs w:val="22"/>
        </w:rPr>
        <w:t xml:space="preserve"> – </w:t>
      </w:r>
      <w:r w:rsidR="002419F0">
        <w:rPr>
          <w:rFonts w:ascii="Arial" w:hAnsi="Arial" w:cs="Arial"/>
          <w:bCs/>
          <w:sz w:val="22"/>
          <w:szCs w:val="22"/>
        </w:rPr>
        <w:t>Mon</w:t>
      </w:r>
      <w:r w:rsidR="0004150E">
        <w:rPr>
          <w:rFonts w:ascii="Arial" w:hAnsi="Arial" w:cs="Arial"/>
          <w:bCs/>
          <w:sz w:val="22"/>
          <w:szCs w:val="22"/>
        </w:rPr>
        <w:t xml:space="preserve"> 9/2</w:t>
      </w:r>
      <w:r w:rsidR="002419F0">
        <w:rPr>
          <w:rFonts w:ascii="Arial" w:hAnsi="Arial" w:cs="Arial"/>
          <w:bCs/>
          <w:sz w:val="22"/>
          <w:szCs w:val="22"/>
        </w:rPr>
        <w:t>4</w:t>
      </w:r>
      <w:r w:rsidR="0004150E">
        <w:rPr>
          <w:rFonts w:ascii="Arial" w:hAnsi="Arial" w:cs="Arial"/>
          <w:bCs/>
          <w:sz w:val="22"/>
          <w:szCs w:val="22"/>
        </w:rPr>
        <w:t>/201</w:t>
      </w:r>
      <w:r w:rsidR="002419F0">
        <w:rPr>
          <w:rFonts w:ascii="Arial" w:hAnsi="Arial" w:cs="Arial"/>
          <w:bCs/>
          <w:sz w:val="22"/>
          <w:szCs w:val="22"/>
        </w:rPr>
        <w:t>8</w:t>
      </w:r>
      <w:r w:rsidR="0004150E">
        <w:rPr>
          <w:rFonts w:ascii="Arial" w:hAnsi="Arial" w:cs="Arial"/>
          <w:bCs/>
          <w:sz w:val="22"/>
          <w:szCs w:val="22"/>
        </w:rPr>
        <w:t xml:space="preserve"> </w:t>
      </w:r>
      <w:r w:rsidR="0004150E">
        <w:rPr>
          <w:rFonts w:ascii="Arial" w:hAnsi="Arial" w:cs="Arial"/>
          <w:bCs/>
          <w:sz w:val="22"/>
          <w:szCs w:val="18"/>
        </w:rPr>
        <w:t>(Case studies – student led)</w:t>
      </w:r>
    </w:p>
    <w:p w14:paraId="5281ADF5" w14:textId="4EE9D117" w:rsidR="00056057" w:rsidRPr="0004150E" w:rsidRDefault="0004150E" w:rsidP="0004150E">
      <w:pPr>
        <w:pStyle w:val="ListParagraph"/>
        <w:widowControl w:val="0"/>
        <w:numPr>
          <w:ilvl w:val="1"/>
          <w:numId w:val="3"/>
        </w:numPr>
        <w:autoSpaceDE w:val="0"/>
        <w:autoSpaceDN w:val="0"/>
        <w:adjustRightInd w:val="0"/>
        <w:rPr>
          <w:rFonts w:ascii="Arial" w:hAnsi="Arial" w:cs="Arial"/>
          <w:bCs/>
          <w:sz w:val="18"/>
          <w:szCs w:val="22"/>
        </w:rPr>
      </w:pPr>
      <w:r w:rsidRPr="0004150E">
        <w:rPr>
          <w:rFonts w:ascii="Arial" w:hAnsi="Arial" w:cs="Arial"/>
          <w:bCs/>
          <w:sz w:val="18"/>
          <w:szCs w:val="18"/>
        </w:rPr>
        <w:t>C</w:t>
      </w:r>
      <w:r>
        <w:rPr>
          <w:rFonts w:ascii="Arial" w:hAnsi="Arial" w:cs="Arial"/>
          <w:bCs/>
          <w:sz w:val="18"/>
          <w:szCs w:val="18"/>
        </w:rPr>
        <w:t xml:space="preserve">ase 13 – X-linked Lymphoproliferative Syndrome </w:t>
      </w:r>
      <w:r w:rsidRPr="00707713">
        <w:rPr>
          <w:rFonts w:ascii="Arial" w:hAnsi="Arial" w:cs="Arial"/>
          <w:bCs/>
          <w:sz w:val="18"/>
          <w:szCs w:val="18"/>
          <w:highlight w:val="cyan"/>
        </w:rPr>
        <w:t>(Student led)</w:t>
      </w:r>
    </w:p>
    <w:p w14:paraId="01EACB6A" w14:textId="7B074F12" w:rsidR="0004150E" w:rsidRPr="0004150E" w:rsidRDefault="0004150E" w:rsidP="0004150E">
      <w:pPr>
        <w:pStyle w:val="ListParagraph"/>
        <w:widowControl w:val="0"/>
        <w:numPr>
          <w:ilvl w:val="1"/>
          <w:numId w:val="3"/>
        </w:numPr>
        <w:autoSpaceDE w:val="0"/>
        <w:autoSpaceDN w:val="0"/>
        <w:adjustRightInd w:val="0"/>
        <w:rPr>
          <w:rFonts w:ascii="Arial" w:hAnsi="Arial" w:cs="Arial"/>
          <w:bCs/>
          <w:sz w:val="18"/>
          <w:szCs w:val="22"/>
        </w:rPr>
      </w:pPr>
      <w:r>
        <w:rPr>
          <w:rFonts w:ascii="Arial" w:hAnsi="Arial" w:cs="Arial"/>
          <w:bCs/>
          <w:sz w:val="18"/>
          <w:szCs w:val="18"/>
        </w:rPr>
        <w:t xml:space="preserve">Case 14 – Hemophagocytic Lymphohistiocytosis </w:t>
      </w:r>
      <w:r w:rsidRPr="00707713">
        <w:rPr>
          <w:rFonts w:ascii="Arial" w:hAnsi="Arial" w:cs="Arial"/>
          <w:bCs/>
          <w:sz w:val="18"/>
          <w:szCs w:val="18"/>
          <w:highlight w:val="cyan"/>
        </w:rPr>
        <w:t>(Student led)</w:t>
      </w:r>
    </w:p>
    <w:p w14:paraId="6BD0E154" w14:textId="77777777" w:rsidR="00697975" w:rsidRPr="00D15CB5" w:rsidRDefault="00697975" w:rsidP="007257EE">
      <w:pPr>
        <w:widowControl w:val="0"/>
        <w:autoSpaceDE w:val="0"/>
        <w:autoSpaceDN w:val="0"/>
        <w:adjustRightInd w:val="0"/>
        <w:spacing w:after="240"/>
        <w:rPr>
          <w:rFonts w:ascii="Arial" w:hAnsi="Arial" w:cs="Arial"/>
          <w:sz w:val="22"/>
          <w:szCs w:val="22"/>
        </w:rPr>
      </w:pPr>
    </w:p>
    <w:p w14:paraId="3AF53686" w14:textId="39C58937" w:rsidR="006F3555" w:rsidRPr="00D15CB5"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b/>
          <w:bCs/>
          <w:sz w:val="22"/>
          <w:szCs w:val="22"/>
        </w:rPr>
        <w:t>V</w:t>
      </w:r>
      <w:r w:rsidR="00490DB9">
        <w:rPr>
          <w:rFonts w:ascii="Arial" w:hAnsi="Arial" w:cs="Arial"/>
          <w:b/>
          <w:bCs/>
          <w:sz w:val="22"/>
          <w:szCs w:val="22"/>
        </w:rPr>
        <w:t>I</w:t>
      </w:r>
      <w:r w:rsidRPr="00D15CB5">
        <w:rPr>
          <w:rFonts w:ascii="Arial" w:hAnsi="Arial" w:cs="Arial"/>
          <w:b/>
          <w:bCs/>
          <w:sz w:val="22"/>
          <w:szCs w:val="22"/>
        </w:rPr>
        <w:t xml:space="preserve">. Evaluation/ Grading/ Testing: </w:t>
      </w:r>
      <w:r w:rsidRPr="00D15CB5">
        <w:rPr>
          <w:rFonts w:ascii="Arial" w:hAnsi="Arial" w:cs="Arial"/>
          <w:sz w:val="22"/>
          <w:szCs w:val="22"/>
        </w:rPr>
        <w:t>Grades will be based on participation</w:t>
      </w:r>
      <w:r w:rsidR="006F3555" w:rsidRPr="00D15CB5">
        <w:rPr>
          <w:rFonts w:ascii="Arial" w:hAnsi="Arial" w:cs="Arial"/>
          <w:sz w:val="22"/>
          <w:szCs w:val="22"/>
        </w:rPr>
        <w:t xml:space="preserve"> and presentations.</w:t>
      </w:r>
      <w:r w:rsidRPr="00D15CB5">
        <w:rPr>
          <w:rFonts w:ascii="Arial" w:hAnsi="Arial" w:cs="Arial"/>
          <w:sz w:val="22"/>
          <w:szCs w:val="22"/>
        </w:rPr>
        <w:t xml:space="preserve"> </w:t>
      </w:r>
      <w:r w:rsidR="0004150E">
        <w:rPr>
          <w:rFonts w:ascii="Arial" w:hAnsi="Arial" w:cs="Arial"/>
          <w:sz w:val="22"/>
          <w:szCs w:val="22"/>
        </w:rPr>
        <w:t>S</w:t>
      </w:r>
      <w:r w:rsidR="006D13CD">
        <w:rPr>
          <w:rFonts w:ascii="Arial" w:hAnsi="Arial" w:cs="Arial"/>
          <w:sz w:val="22"/>
          <w:szCs w:val="22"/>
        </w:rPr>
        <w:t xml:space="preserve">tudents will present selected articles from the scientific literature </w:t>
      </w:r>
      <w:r w:rsidR="0004150E">
        <w:rPr>
          <w:rFonts w:ascii="Arial" w:hAnsi="Arial" w:cs="Arial"/>
          <w:sz w:val="22"/>
          <w:szCs w:val="22"/>
        </w:rPr>
        <w:t xml:space="preserve">or case studies of immune defects </w:t>
      </w:r>
      <w:r w:rsidR="006D13CD">
        <w:rPr>
          <w:rFonts w:ascii="Arial" w:hAnsi="Arial" w:cs="Arial"/>
          <w:sz w:val="22"/>
          <w:szCs w:val="22"/>
        </w:rPr>
        <w:t>(chosen by instructor). For the Performance and Knowledge of Subject Area criterion, each paper assignment will include a list of 5-10 key concepts that must be covered in the presentation. The student’s ability to present these concepts and answer questions from the group will be assessed by the instructor.</w:t>
      </w:r>
    </w:p>
    <w:tbl>
      <w:tblPr>
        <w:tblW w:w="15098" w:type="dxa"/>
        <w:tblBorders>
          <w:top w:val="nil"/>
          <w:left w:val="nil"/>
          <w:right w:val="nil"/>
        </w:tblBorders>
        <w:tblLayout w:type="fixed"/>
        <w:tblLook w:val="0000" w:firstRow="0" w:lastRow="0" w:firstColumn="0" w:lastColumn="0" w:noHBand="0" w:noVBand="0"/>
      </w:tblPr>
      <w:tblGrid>
        <w:gridCol w:w="1098"/>
        <w:gridCol w:w="14000"/>
      </w:tblGrid>
      <w:tr w:rsidR="00562895" w:rsidRPr="00D15CB5" w14:paraId="6B36EE4B" w14:textId="77777777" w:rsidTr="0073182A">
        <w:tc>
          <w:tcPr>
            <w:tcW w:w="1098" w:type="dxa"/>
            <w:tcMar>
              <w:top w:w="20" w:type="nil"/>
              <w:left w:w="20" w:type="nil"/>
              <w:bottom w:w="20" w:type="nil"/>
              <w:right w:w="20" w:type="nil"/>
            </w:tcMar>
            <w:vAlign w:val="center"/>
          </w:tcPr>
          <w:p w14:paraId="6C398DF1" w14:textId="77777777" w:rsidR="007257EE" w:rsidRPr="00D15CB5" w:rsidRDefault="007257EE" w:rsidP="001934CA">
            <w:pPr>
              <w:widowControl w:val="0"/>
              <w:autoSpaceDE w:val="0"/>
              <w:autoSpaceDN w:val="0"/>
              <w:adjustRightInd w:val="0"/>
              <w:rPr>
                <w:rFonts w:ascii="Arial" w:hAnsi="Arial" w:cs="Arial"/>
                <w:sz w:val="22"/>
                <w:szCs w:val="22"/>
              </w:rPr>
            </w:pPr>
            <w:r w:rsidRPr="00D15CB5">
              <w:rPr>
                <w:rFonts w:ascii="Arial" w:hAnsi="Arial" w:cs="Arial"/>
                <w:b/>
                <w:bCs/>
                <w:sz w:val="22"/>
                <w:szCs w:val="22"/>
              </w:rPr>
              <w:t>90%</w:t>
            </w:r>
          </w:p>
        </w:tc>
        <w:tc>
          <w:tcPr>
            <w:tcW w:w="14000" w:type="dxa"/>
            <w:tcMar>
              <w:top w:w="20" w:type="nil"/>
              <w:left w:w="20" w:type="nil"/>
              <w:bottom w:w="20" w:type="nil"/>
              <w:right w:w="20" w:type="nil"/>
            </w:tcMar>
            <w:vAlign w:val="center"/>
          </w:tcPr>
          <w:p w14:paraId="77073987" w14:textId="77777777" w:rsidR="007257EE" w:rsidRPr="00D15CB5" w:rsidRDefault="007257EE" w:rsidP="001934CA">
            <w:pPr>
              <w:widowControl w:val="0"/>
              <w:autoSpaceDE w:val="0"/>
              <w:autoSpaceDN w:val="0"/>
              <w:adjustRightInd w:val="0"/>
              <w:rPr>
                <w:rFonts w:ascii="Arial" w:hAnsi="Arial" w:cs="Arial"/>
                <w:sz w:val="22"/>
                <w:szCs w:val="22"/>
              </w:rPr>
            </w:pPr>
            <w:r w:rsidRPr="00D15CB5">
              <w:rPr>
                <w:rFonts w:ascii="Arial" w:hAnsi="Arial" w:cs="Arial"/>
                <w:b/>
                <w:bCs/>
                <w:sz w:val="22"/>
                <w:szCs w:val="22"/>
              </w:rPr>
              <w:t>Performance &amp; Knowledge of Subject Area</w:t>
            </w:r>
          </w:p>
        </w:tc>
      </w:tr>
      <w:tr w:rsidR="00562895" w:rsidRPr="00D15CB5" w14:paraId="6A674951" w14:textId="77777777" w:rsidTr="0073182A">
        <w:tblPrEx>
          <w:tblBorders>
            <w:top w:val="none" w:sz="0" w:space="0" w:color="auto"/>
          </w:tblBorders>
        </w:tblPrEx>
        <w:tc>
          <w:tcPr>
            <w:tcW w:w="1098" w:type="dxa"/>
            <w:tcMar>
              <w:top w:w="20" w:type="nil"/>
              <w:left w:w="20" w:type="nil"/>
              <w:bottom w:w="20" w:type="nil"/>
              <w:right w:w="20" w:type="nil"/>
            </w:tcMar>
            <w:vAlign w:val="center"/>
          </w:tcPr>
          <w:p w14:paraId="3560B5FF" w14:textId="77777777" w:rsidR="007257EE" w:rsidRPr="00D15CB5" w:rsidRDefault="007257EE" w:rsidP="001934CA">
            <w:pPr>
              <w:widowControl w:val="0"/>
              <w:autoSpaceDE w:val="0"/>
              <w:autoSpaceDN w:val="0"/>
              <w:adjustRightInd w:val="0"/>
              <w:rPr>
                <w:rFonts w:ascii="Arial" w:hAnsi="Arial" w:cs="Arial"/>
                <w:sz w:val="22"/>
                <w:szCs w:val="22"/>
              </w:rPr>
            </w:pPr>
            <w:r w:rsidRPr="00D15CB5">
              <w:rPr>
                <w:rFonts w:ascii="Arial" w:hAnsi="Arial" w:cs="Arial"/>
                <w:b/>
                <w:bCs/>
                <w:sz w:val="22"/>
                <w:szCs w:val="22"/>
              </w:rPr>
              <w:t>10%</w:t>
            </w:r>
          </w:p>
        </w:tc>
        <w:tc>
          <w:tcPr>
            <w:tcW w:w="14000" w:type="dxa"/>
            <w:tcMar>
              <w:top w:w="20" w:type="nil"/>
              <w:left w:w="20" w:type="nil"/>
              <w:bottom w:w="20" w:type="nil"/>
              <w:right w:w="20" w:type="nil"/>
            </w:tcMar>
            <w:vAlign w:val="center"/>
          </w:tcPr>
          <w:p w14:paraId="5A32D020" w14:textId="2992FF41" w:rsidR="00856A0C" w:rsidRPr="00D15CB5" w:rsidRDefault="007257EE" w:rsidP="001934CA">
            <w:pPr>
              <w:widowControl w:val="0"/>
              <w:autoSpaceDE w:val="0"/>
              <w:autoSpaceDN w:val="0"/>
              <w:adjustRightInd w:val="0"/>
              <w:rPr>
                <w:rFonts w:ascii="Arial" w:hAnsi="Arial" w:cs="Arial"/>
                <w:b/>
                <w:bCs/>
                <w:sz w:val="22"/>
                <w:szCs w:val="22"/>
              </w:rPr>
            </w:pPr>
            <w:r w:rsidRPr="00D15CB5">
              <w:rPr>
                <w:rFonts w:ascii="Arial" w:hAnsi="Arial" w:cs="Arial"/>
                <w:b/>
                <w:bCs/>
                <w:sz w:val="22"/>
                <w:szCs w:val="22"/>
              </w:rPr>
              <w:t>Participation</w:t>
            </w:r>
            <w:r w:rsidR="004A3412" w:rsidRPr="00D15CB5">
              <w:rPr>
                <w:rFonts w:ascii="Arial" w:hAnsi="Arial" w:cs="Arial"/>
                <w:b/>
                <w:bCs/>
                <w:sz w:val="22"/>
                <w:szCs w:val="22"/>
              </w:rPr>
              <w:t xml:space="preserve"> and attendance</w:t>
            </w:r>
          </w:p>
        </w:tc>
      </w:tr>
      <w:tr w:rsidR="001934CA" w:rsidRPr="00D15CB5" w14:paraId="1A847E04" w14:textId="77777777" w:rsidTr="001934CA">
        <w:tblPrEx>
          <w:tblBorders>
            <w:top w:val="none" w:sz="0" w:space="0" w:color="auto"/>
          </w:tblBorders>
        </w:tblPrEx>
        <w:tc>
          <w:tcPr>
            <w:tcW w:w="1098" w:type="dxa"/>
            <w:tcBorders>
              <w:left w:val="nil"/>
            </w:tcBorders>
            <w:tcMar>
              <w:top w:w="20" w:type="nil"/>
              <w:left w:w="20" w:type="nil"/>
              <w:bottom w:w="20" w:type="nil"/>
              <w:right w:w="20" w:type="nil"/>
            </w:tcMar>
            <w:vAlign w:val="center"/>
          </w:tcPr>
          <w:p w14:paraId="7057CEB3" w14:textId="77777777" w:rsidR="001934CA" w:rsidRPr="00D15CB5" w:rsidRDefault="001934CA" w:rsidP="001934CA">
            <w:pPr>
              <w:rPr>
                <w:rFonts w:ascii="Arial" w:hAnsi="Arial" w:cs="Arial"/>
                <w:b/>
                <w:bCs/>
                <w:sz w:val="22"/>
                <w:szCs w:val="22"/>
              </w:rPr>
            </w:pPr>
            <w:r w:rsidRPr="00D15CB5">
              <w:rPr>
                <w:rFonts w:ascii="Arial" w:hAnsi="Arial" w:cs="Arial"/>
                <w:b/>
                <w:bCs/>
                <w:sz w:val="22"/>
                <w:szCs w:val="22"/>
              </w:rPr>
              <w:t xml:space="preserve">A </w:t>
            </w:r>
          </w:p>
        </w:tc>
        <w:tc>
          <w:tcPr>
            <w:tcW w:w="14000" w:type="dxa"/>
            <w:tcBorders>
              <w:right w:val="nil"/>
            </w:tcBorders>
            <w:tcMar>
              <w:top w:w="20" w:type="nil"/>
              <w:left w:w="20" w:type="nil"/>
              <w:bottom w:w="20" w:type="nil"/>
              <w:right w:w="20" w:type="nil"/>
            </w:tcMar>
            <w:vAlign w:val="center"/>
          </w:tcPr>
          <w:p w14:paraId="73A1A003" w14:textId="69FDEF97" w:rsidR="001934CA" w:rsidRPr="00D15CB5" w:rsidRDefault="001934CA" w:rsidP="001934CA">
            <w:pPr>
              <w:rPr>
                <w:rFonts w:ascii="Arial" w:hAnsi="Arial" w:cs="Arial"/>
                <w:b/>
                <w:bCs/>
                <w:sz w:val="22"/>
                <w:szCs w:val="22"/>
              </w:rPr>
            </w:pPr>
            <w:r w:rsidRPr="00D15CB5">
              <w:rPr>
                <w:rFonts w:ascii="Arial" w:hAnsi="Arial" w:cs="Arial"/>
                <w:b/>
                <w:bCs/>
                <w:sz w:val="22"/>
                <w:szCs w:val="22"/>
              </w:rPr>
              <w:t>94 -</w:t>
            </w:r>
            <w:r w:rsidR="006D13CD">
              <w:rPr>
                <w:rFonts w:ascii="Arial" w:hAnsi="Arial" w:cs="Arial"/>
                <w:b/>
                <w:bCs/>
                <w:sz w:val="22"/>
                <w:szCs w:val="22"/>
              </w:rPr>
              <w:t xml:space="preserve"> </w:t>
            </w:r>
            <w:r w:rsidRPr="00D15CB5">
              <w:rPr>
                <w:rFonts w:ascii="Arial" w:hAnsi="Arial" w:cs="Arial"/>
                <w:b/>
                <w:bCs/>
                <w:sz w:val="22"/>
                <w:szCs w:val="22"/>
              </w:rPr>
              <w:t xml:space="preserve">100 </w:t>
            </w:r>
          </w:p>
        </w:tc>
      </w:tr>
      <w:tr w:rsidR="001934CA" w:rsidRPr="00D15CB5" w14:paraId="1E45245F" w14:textId="77777777" w:rsidTr="001934CA">
        <w:tblPrEx>
          <w:tblBorders>
            <w:top w:val="none" w:sz="0" w:space="0" w:color="auto"/>
          </w:tblBorders>
        </w:tblPrEx>
        <w:tc>
          <w:tcPr>
            <w:tcW w:w="1098" w:type="dxa"/>
            <w:tcBorders>
              <w:left w:val="nil"/>
            </w:tcBorders>
            <w:tcMar>
              <w:top w:w="20" w:type="nil"/>
              <w:left w:w="20" w:type="nil"/>
              <w:bottom w:w="20" w:type="nil"/>
              <w:right w:w="20" w:type="nil"/>
            </w:tcMar>
            <w:vAlign w:val="center"/>
          </w:tcPr>
          <w:p w14:paraId="67E31AB8" w14:textId="77777777" w:rsidR="001934CA" w:rsidRPr="00D15CB5" w:rsidRDefault="001934CA" w:rsidP="001934CA">
            <w:pPr>
              <w:rPr>
                <w:rFonts w:ascii="Arial" w:hAnsi="Arial" w:cs="Arial"/>
                <w:b/>
                <w:bCs/>
                <w:sz w:val="22"/>
                <w:szCs w:val="22"/>
              </w:rPr>
            </w:pPr>
            <w:r w:rsidRPr="00D15CB5">
              <w:rPr>
                <w:rFonts w:ascii="Arial" w:hAnsi="Arial" w:cs="Arial"/>
                <w:b/>
                <w:bCs/>
                <w:sz w:val="22"/>
                <w:szCs w:val="22"/>
              </w:rPr>
              <w:t>A</w:t>
            </w:r>
            <w:r w:rsidRPr="00D15CB5">
              <w:rPr>
                <w:rFonts w:ascii="Arial" w:hAnsi="Arial" w:cs="Arial"/>
                <w:b/>
                <w:bCs/>
                <w:sz w:val="22"/>
                <w:szCs w:val="22"/>
              </w:rPr>
              <w:softHyphen/>
            </w:r>
          </w:p>
        </w:tc>
        <w:tc>
          <w:tcPr>
            <w:tcW w:w="14000" w:type="dxa"/>
            <w:tcBorders>
              <w:right w:val="nil"/>
            </w:tcBorders>
            <w:tcMar>
              <w:top w:w="20" w:type="nil"/>
              <w:left w:w="20" w:type="nil"/>
              <w:bottom w:w="20" w:type="nil"/>
              <w:right w:w="20" w:type="nil"/>
            </w:tcMar>
            <w:vAlign w:val="center"/>
          </w:tcPr>
          <w:p w14:paraId="0E84F8B0" w14:textId="41F4098E" w:rsidR="001934CA" w:rsidRPr="00D15CB5" w:rsidRDefault="001934CA" w:rsidP="006D13CD">
            <w:pPr>
              <w:rPr>
                <w:rFonts w:ascii="Arial" w:hAnsi="Arial" w:cs="Arial"/>
                <w:b/>
                <w:bCs/>
                <w:sz w:val="22"/>
                <w:szCs w:val="22"/>
              </w:rPr>
            </w:pPr>
            <w:r w:rsidRPr="00D15CB5">
              <w:rPr>
                <w:rFonts w:ascii="Arial" w:hAnsi="Arial" w:cs="Arial"/>
                <w:b/>
                <w:bCs/>
                <w:sz w:val="22"/>
                <w:szCs w:val="22"/>
              </w:rPr>
              <w:t>93</w:t>
            </w:r>
            <w:r w:rsidR="006D13CD">
              <w:rPr>
                <w:rFonts w:ascii="Arial" w:hAnsi="Arial" w:cs="Arial"/>
                <w:b/>
                <w:bCs/>
                <w:sz w:val="22"/>
                <w:szCs w:val="22"/>
              </w:rPr>
              <w:t xml:space="preserve">.9 </w:t>
            </w:r>
            <w:r w:rsidRPr="00D15CB5">
              <w:rPr>
                <w:rFonts w:ascii="Arial" w:hAnsi="Arial" w:cs="Arial"/>
                <w:b/>
                <w:bCs/>
                <w:sz w:val="22"/>
                <w:szCs w:val="22"/>
              </w:rPr>
              <w:t>-</w:t>
            </w:r>
            <w:r w:rsidR="006D13CD">
              <w:rPr>
                <w:rFonts w:ascii="Arial" w:hAnsi="Arial" w:cs="Arial"/>
                <w:b/>
                <w:bCs/>
                <w:sz w:val="22"/>
                <w:szCs w:val="22"/>
              </w:rPr>
              <w:t xml:space="preserve"> </w:t>
            </w:r>
            <w:r w:rsidRPr="00D15CB5">
              <w:rPr>
                <w:rFonts w:ascii="Arial" w:hAnsi="Arial" w:cs="Arial"/>
                <w:b/>
                <w:bCs/>
                <w:sz w:val="22"/>
                <w:szCs w:val="22"/>
              </w:rPr>
              <w:t xml:space="preserve">90 </w:t>
            </w:r>
          </w:p>
        </w:tc>
      </w:tr>
      <w:tr w:rsidR="001934CA" w:rsidRPr="00D15CB5" w14:paraId="01CA719D" w14:textId="77777777" w:rsidTr="001934CA">
        <w:tblPrEx>
          <w:tblBorders>
            <w:top w:val="none" w:sz="0" w:space="0" w:color="auto"/>
          </w:tblBorders>
        </w:tblPrEx>
        <w:tc>
          <w:tcPr>
            <w:tcW w:w="1098" w:type="dxa"/>
            <w:tcBorders>
              <w:left w:val="nil"/>
            </w:tcBorders>
            <w:tcMar>
              <w:top w:w="20" w:type="nil"/>
              <w:left w:w="20" w:type="nil"/>
              <w:bottom w:w="20" w:type="nil"/>
              <w:right w:w="20" w:type="nil"/>
            </w:tcMar>
            <w:vAlign w:val="center"/>
          </w:tcPr>
          <w:p w14:paraId="5D911F56" w14:textId="77777777" w:rsidR="001934CA" w:rsidRPr="00D15CB5" w:rsidRDefault="001934CA" w:rsidP="001934CA">
            <w:pPr>
              <w:rPr>
                <w:rFonts w:ascii="Arial" w:hAnsi="Arial" w:cs="Arial"/>
                <w:b/>
                <w:bCs/>
                <w:sz w:val="22"/>
                <w:szCs w:val="22"/>
              </w:rPr>
            </w:pPr>
            <w:r w:rsidRPr="00D15CB5">
              <w:rPr>
                <w:rFonts w:ascii="Arial" w:hAnsi="Arial" w:cs="Arial"/>
                <w:b/>
                <w:bCs/>
                <w:sz w:val="22"/>
                <w:szCs w:val="22"/>
              </w:rPr>
              <w:t xml:space="preserve">B+ </w:t>
            </w:r>
          </w:p>
        </w:tc>
        <w:tc>
          <w:tcPr>
            <w:tcW w:w="14000" w:type="dxa"/>
            <w:tcBorders>
              <w:right w:val="nil"/>
            </w:tcBorders>
            <w:tcMar>
              <w:top w:w="20" w:type="nil"/>
              <w:left w:w="20" w:type="nil"/>
              <w:bottom w:w="20" w:type="nil"/>
              <w:right w:w="20" w:type="nil"/>
            </w:tcMar>
            <w:vAlign w:val="center"/>
          </w:tcPr>
          <w:p w14:paraId="236C0361" w14:textId="316FB7DB" w:rsidR="001934CA" w:rsidRPr="00D15CB5" w:rsidRDefault="001934CA" w:rsidP="006D13CD">
            <w:pPr>
              <w:rPr>
                <w:rFonts w:ascii="Arial" w:hAnsi="Arial" w:cs="Arial"/>
                <w:b/>
                <w:bCs/>
                <w:sz w:val="22"/>
                <w:szCs w:val="22"/>
              </w:rPr>
            </w:pPr>
            <w:r w:rsidRPr="00D15CB5">
              <w:rPr>
                <w:rFonts w:ascii="Arial" w:hAnsi="Arial" w:cs="Arial"/>
                <w:b/>
                <w:bCs/>
                <w:sz w:val="22"/>
                <w:szCs w:val="22"/>
              </w:rPr>
              <w:t>89</w:t>
            </w:r>
            <w:r w:rsidR="006D13CD">
              <w:rPr>
                <w:rFonts w:ascii="Arial" w:hAnsi="Arial" w:cs="Arial"/>
                <w:b/>
                <w:bCs/>
                <w:sz w:val="22"/>
                <w:szCs w:val="22"/>
              </w:rPr>
              <w:t xml:space="preserve">.9 </w:t>
            </w:r>
            <w:r w:rsidRPr="00D15CB5">
              <w:rPr>
                <w:rFonts w:ascii="Arial" w:hAnsi="Arial" w:cs="Arial"/>
                <w:b/>
                <w:bCs/>
                <w:sz w:val="22"/>
                <w:szCs w:val="22"/>
              </w:rPr>
              <w:t>-</w:t>
            </w:r>
            <w:r w:rsidR="006D13CD">
              <w:rPr>
                <w:rFonts w:ascii="Arial" w:hAnsi="Arial" w:cs="Arial"/>
                <w:b/>
                <w:bCs/>
                <w:sz w:val="22"/>
                <w:szCs w:val="22"/>
              </w:rPr>
              <w:t xml:space="preserve"> </w:t>
            </w:r>
            <w:r w:rsidRPr="00D15CB5">
              <w:rPr>
                <w:rFonts w:ascii="Arial" w:hAnsi="Arial" w:cs="Arial"/>
                <w:b/>
                <w:bCs/>
                <w:sz w:val="22"/>
                <w:szCs w:val="22"/>
              </w:rPr>
              <w:t xml:space="preserve">87 </w:t>
            </w:r>
          </w:p>
        </w:tc>
      </w:tr>
      <w:tr w:rsidR="001934CA" w:rsidRPr="00D15CB5" w14:paraId="284DEE15" w14:textId="77777777" w:rsidTr="001934CA">
        <w:tblPrEx>
          <w:tblBorders>
            <w:top w:val="none" w:sz="0" w:space="0" w:color="auto"/>
          </w:tblBorders>
        </w:tblPrEx>
        <w:tc>
          <w:tcPr>
            <w:tcW w:w="1098" w:type="dxa"/>
            <w:tcBorders>
              <w:left w:val="nil"/>
            </w:tcBorders>
            <w:tcMar>
              <w:top w:w="20" w:type="nil"/>
              <w:left w:w="20" w:type="nil"/>
              <w:bottom w:w="20" w:type="nil"/>
              <w:right w:w="20" w:type="nil"/>
            </w:tcMar>
            <w:vAlign w:val="center"/>
          </w:tcPr>
          <w:p w14:paraId="4E75518D" w14:textId="77777777" w:rsidR="001934CA" w:rsidRPr="00D15CB5" w:rsidRDefault="001934CA" w:rsidP="001934CA">
            <w:pPr>
              <w:rPr>
                <w:rFonts w:ascii="Arial" w:hAnsi="Arial" w:cs="Arial"/>
                <w:b/>
                <w:bCs/>
                <w:sz w:val="22"/>
                <w:szCs w:val="22"/>
              </w:rPr>
            </w:pPr>
            <w:r w:rsidRPr="00D15CB5">
              <w:rPr>
                <w:rFonts w:ascii="Arial" w:hAnsi="Arial" w:cs="Arial"/>
                <w:b/>
                <w:bCs/>
                <w:sz w:val="22"/>
                <w:szCs w:val="22"/>
              </w:rPr>
              <w:t xml:space="preserve">B </w:t>
            </w:r>
          </w:p>
        </w:tc>
        <w:tc>
          <w:tcPr>
            <w:tcW w:w="14000" w:type="dxa"/>
            <w:tcBorders>
              <w:right w:val="nil"/>
            </w:tcBorders>
            <w:tcMar>
              <w:top w:w="20" w:type="nil"/>
              <w:left w:w="20" w:type="nil"/>
              <w:bottom w:w="20" w:type="nil"/>
              <w:right w:w="20" w:type="nil"/>
            </w:tcMar>
            <w:vAlign w:val="center"/>
          </w:tcPr>
          <w:p w14:paraId="05C66CF0" w14:textId="16B01FAD" w:rsidR="001934CA" w:rsidRPr="00D15CB5" w:rsidRDefault="001934CA" w:rsidP="001934CA">
            <w:pPr>
              <w:rPr>
                <w:rFonts w:ascii="Arial" w:hAnsi="Arial" w:cs="Arial"/>
                <w:b/>
                <w:bCs/>
                <w:sz w:val="22"/>
                <w:szCs w:val="22"/>
              </w:rPr>
            </w:pPr>
            <w:r w:rsidRPr="00D15CB5">
              <w:rPr>
                <w:rFonts w:ascii="Arial" w:hAnsi="Arial" w:cs="Arial"/>
                <w:b/>
                <w:bCs/>
                <w:sz w:val="22"/>
                <w:szCs w:val="22"/>
              </w:rPr>
              <w:t>86</w:t>
            </w:r>
            <w:r w:rsidR="006D13CD">
              <w:rPr>
                <w:rFonts w:ascii="Arial" w:hAnsi="Arial" w:cs="Arial"/>
                <w:b/>
                <w:bCs/>
                <w:sz w:val="22"/>
                <w:szCs w:val="22"/>
              </w:rPr>
              <w:t xml:space="preserve">.9 </w:t>
            </w:r>
            <w:r w:rsidRPr="00D15CB5">
              <w:rPr>
                <w:rFonts w:ascii="Arial" w:hAnsi="Arial" w:cs="Arial"/>
                <w:b/>
                <w:bCs/>
                <w:sz w:val="22"/>
                <w:szCs w:val="22"/>
              </w:rPr>
              <w:t>-</w:t>
            </w:r>
            <w:r w:rsidR="006D13CD">
              <w:rPr>
                <w:rFonts w:ascii="Arial" w:hAnsi="Arial" w:cs="Arial"/>
                <w:b/>
                <w:bCs/>
                <w:sz w:val="22"/>
                <w:szCs w:val="22"/>
              </w:rPr>
              <w:t xml:space="preserve"> </w:t>
            </w:r>
            <w:r w:rsidRPr="00D15CB5">
              <w:rPr>
                <w:rFonts w:ascii="Arial" w:hAnsi="Arial" w:cs="Arial"/>
                <w:b/>
                <w:bCs/>
                <w:sz w:val="22"/>
                <w:szCs w:val="22"/>
              </w:rPr>
              <w:t xml:space="preserve">83 </w:t>
            </w:r>
          </w:p>
        </w:tc>
      </w:tr>
      <w:tr w:rsidR="001934CA" w:rsidRPr="00D15CB5" w14:paraId="588890FE" w14:textId="77777777" w:rsidTr="001934CA">
        <w:tblPrEx>
          <w:tblBorders>
            <w:top w:val="none" w:sz="0" w:space="0" w:color="auto"/>
          </w:tblBorders>
        </w:tblPrEx>
        <w:tc>
          <w:tcPr>
            <w:tcW w:w="1098" w:type="dxa"/>
            <w:tcBorders>
              <w:left w:val="nil"/>
            </w:tcBorders>
            <w:tcMar>
              <w:top w:w="20" w:type="nil"/>
              <w:left w:w="20" w:type="nil"/>
              <w:bottom w:w="20" w:type="nil"/>
              <w:right w:w="20" w:type="nil"/>
            </w:tcMar>
            <w:vAlign w:val="center"/>
          </w:tcPr>
          <w:p w14:paraId="50B36CA0" w14:textId="77777777" w:rsidR="001934CA" w:rsidRPr="00D15CB5" w:rsidRDefault="001934CA" w:rsidP="001934CA">
            <w:pPr>
              <w:rPr>
                <w:rFonts w:ascii="Arial" w:hAnsi="Arial" w:cs="Arial"/>
                <w:b/>
                <w:bCs/>
                <w:sz w:val="22"/>
                <w:szCs w:val="22"/>
              </w:rPr>
            </w:pPr>
            <w:r w:rsidRPr="00D15CB5">
              <w:rPr>
                <w:rFonts w:ascii="Arial" w:hAnsi="Arial" w:cs="Arial"/>
                <w:b/>
                <w:bCs/>
                <w:sz w:val="22"/>
                <w:szCs w:val="22"/>
              </w:rPr>
              <w:t>B</w:t>
            </w:r>
            <w:r w:rsidRPr="00D15CB5">
              <w:rPr>
                <w:rFonts w:ascii="Arial" w:hAnsi="Arial" w:cs="Arial"/>
                <w:b/>
                <w:bCs/>
                <w:sz w:val="22"/>
                <w:szCs w:val="22"/>
              </w:rPr>
              <w:softHyphen/>
            </w:r>
          </w:p>
        </w:tc>
        <w:tc>
          <w:tcPr>
            <w:tcW w:w="14000" w:type="dxa"/>
            <w:tcBorders>
              <w:right w:val="nil"/>
            </w:tcBorders>
            <w:tcMar>
              <w:top w:w="20" w:type="nil"/>
              <w:left w:w="20" w:type="nil"/>
              <w:bottom w:w="20" w:type="nil"/>
              <w:right w:w="20" w:type="nil"/>
            </w:tcMar>
            <w:vAlign w:val="center"/>
          </w:tcPr>
          <w:p w14:paraId="0E5B1D88" w14:textId="2EBE99CA" w:rsidR="001934CA" w:rsidRPr="00D15CB5" w:rsidRDefault="001934CA" w:rsidP="001934CA">
            <w:pPr>
              <w:rPr>
                <w:rFonts w:ascii="Arial" w:hAnsi="Arial" w:cs="Arial"/>
                <w:b/>
                <w:bCs/>
                <w:sz w:val="22"/>
                <w:szCs w:val="22"/>
              </w:rPr>
            </w:pPr>
            <w:r w:rsidRPr="00D15CB5">
              <w:rPr>
                <w:rFonts w:ascii="Arial" w:hAnsi="Arial" w:cs="Arial"/>
                <w:b/>
                <w:bCs/>
                <w:sz w:val="22"/>
                <w:szCs w:val="22"/>
              </w:rPr>
              <w:t>82</w:t>
            </w:r>
            <w:r w:rsidR="006D13CD">
              <w:rPr>
                <w:rFonts w:ascii="Arial" w:hAnsi="Arial" w:cs="Arial"/>
                <w:b/>
                <w:bCs/>
                <w:sz w:val="22"/>
                <w:szCs w:val="22"/>
              </w:rPr>
              <w:t xml:space="preserve">.9 </w:t>
            </w:r>
            <w:r w:rsidRPr="00D15CB5">
              <w:rPr>
                <w:rFonts w:ascii="Arial" w:hAnsi="Arial" w:cs="Arial"/>
                <w:b/>
                <w:bCs/>
                <w:sz w:val="22"/>
                <w:szCs w:val="22"/>
              </w:rPr>
              <w:t>-</w:t>
            </w:r>
            <w:r w:rsidR="006D13CD">
              <w:rPr>
                <w:rFonts w:ascii="Arial" w:hAnsi="Arial" w:cs="Arial"/>
                <w:b/>
                <w:bCs/>
                <w:sz w:val="22"/>
                <w:szCs w:val="22"/>
              </w:rPr>
              <w:t xml:space="preserve"> </w:t>
            </w:r>
            <w:r w:rsidRPr="00D15CB5">
              <w:rPr>
                <w:rFonts w:ascii="Arial" w:hAnsi="Arial" w:cs="Arial"/>
                <w:b/>
                <w:bCs/>
                <w:sz w:val="22"/>
                <w:szCs w:val="22"/>
              </w:rPr>
              <w:t xml:space="preserve">80 </w:t>
            </w:r>
          </w:p>
        </w:tc>
      </w:tr>
      <w:tr w:rsidR="001934CA" w:rsidRPr="00D15CB5" w14:paraId="4E30FE23" w14:textId="77777777" w:rsidTr="001934CA">
        <w:tblPrEx>
          <w:tblBorders>
            <w:top w:val="none" w:sz="0" w:space="0" w:color="auto"/>
          </w:tblBorders>
        </w:tblPrEx>
        <w:tc>
          <w:tcPr>
            <w:tcW w:w="1098" w:type="dxa"/>
            <w:tcBorders>
              <w:left w:val="nil"/>
            </w:tcBorders>
            <w:tcMar>
              <w:top w:w="20" w:type="nil"/>
              <w:left w:w="20" w:type="nil"/>
              <w:bottom w:w="20" w:type="nil"/>
              <w:right w:w="20" w:type="nil"/>
            </w:tcMar>
            <w:vAlign w:val="center"/>
          </w:tcPr>
          <w:p w14:paraId="0A2F4F05" w14:textId="77777777" w:rsidR="001934CA" w:rsidRPr="00D15CB5" w:rsidRDefault="001934CA" w:rsidP="001934CA">
            <w:pPr>
              <w:rPr>
                <w:rFonts w:ascii="Arial" w:hAnsi="Arial" w:cs="Arial"/>
                <w:b/>
                <w:bCs/>
                <w:sz w:val="22"/>
                <w:szCs w:val="22"/>
              </w:rPr>
            </w:pPr>
            <w:r w:rsidRPr="00D15CB5">
              <w:rPr>
                <w:rFonts w:ascii="Arial" w:hAnsi="Arial" w:cs="Arial"/>
                <w:b/>
                <w:bCs/>
                <w:sz w:val="22"/>
                <w:szCs w:val="22"/>
              </w:rPr>
              <w:t xml:space="preserve">C+ </w:t>
            </w:r>
          </w:p>
        </w:tc>
        <w:tc>
          <w:tcPr>
            <w:tcW w:w="14000" w:type="dxa"/>
            <w:tcBorders>
              <w:right w:val="nil"/>
            </w:tcBorders>
            <w:tcMar>
              <w:top w:w="20" w:type="nil"/>
              <w:left w:w="20" w:type="nil"/>
              <w:bottom w:w="20" w:type="nil"/>
              <w:right w:w="20" w:type="nil"/>
            </w:tcMar>
            <w:vAlign w:val="center"/>
          </w:tcPr>
          <w:p w14:paraId="53F73820" w14:textId="6D65B4E2" w:rsidR="001934CA" w:rsidRPr="00D15CB5" w:rsidRDefault="001934CA" w:rsidP="001934CA">
            <w:pPr>
              <w:rPr>
                <w:rFonts w:ascii="Arial" w:hAnsi="Arial" w:cs="Arial"/>
                <w:b/>
                <w:bCs/>
                <w:sz w:val="22"/>
                <w:szCs w:val="22"/>
              </w:rPr>
            </w:pPr>
            <w:r w:rsidRPr="00D15CB5">
              <w:rPr>
                <w:rFonts w:ascii="Arial" w:hAnsi="Arial" w:cs="Arial"/>
                <w:b/>
                <w:bCs/>
                <w:sz w:val="22"/>
                <w:szCs w:val="22"/>
              </w:rPr>
              <w:t>79</w:t>
            </w:r>
            <w:r w:rsidR="006D13CD">
              <w:rPr>
                <w:rFonts w:ascii="Arial" w:hAnsi="Arial" w:cs="Arial"/>
                <w:b/>
                <w:bCs/>
                <w:sz w:val="22"/>
                <w:szCs w:val="22"/>
              </w:rPr>
              <w:t xml:space="preserve">.9 </w:t>
            </w:r>
            <w:r w:rsidRPr="00D15CB5">
              <w:rPr>
                <w:rFonts w:ascii="Arial" w:hAnsi="Arial" w:cs="Arial"/>
                <w:b/>
                <w:bCs/>
                <w:sz w:val="22"/>
                <w:szCs w:val="22"/>
              </w:rPr>
              <w:t>-</w:t>
            </w:r>
            <w:r w:rsidR="006D13CD">
              <w:rPr>
                <w:rFonts w:ascii="Arial" w:hAnsi="Arial" w:cs="Arial"/>
                <w:b/>
                <w:bCs/>
                <w:sz w:val="22"/>
                <w:szCs w:val="22"/>
              </w:rPr>
              <w:t xml:space="preserve"> </w:t>
            </w:r>
            <w:r w:rsidRPr="00D15CB5">
              <w:rPr>
                <w:rFonts w:ascii="Arial" w:hAnsi="Arial" w:cs="Arial"/>
                <w:b/>
                <w:bCs/>
                <w:sz w:val="22"/>
                <w:szCs w:val="22"/>
              </w:rPr>
              <w:t xml:space="preserve">77 </w:t>
            </w:r>
          </w:p>
        </w:tc>
      </w:tr>
      <w:tr w:rsidR="001934CA" w:rsidRPr="00D15CB5" w14:paraId="3DEAF8C0" w14:textId="77777777" w:rsidTr="001934CA">
        <w:tblPrEx>
          <w:tblBorders>
            <w:top w:val="none" w:sz="0" w:space="0" w:color="auto"/>
          </w:tblBorders>
        </w:tblPrEx>
        <w:tc>
          <w:tcPr>
            <w:tcW w:w="1098" w:type="dxa"/>
            <w:tcBorders>
              <w:left w:val="nil"/>
            </w:tcBorders>
            <w:tcMar>
              <w:top w:w="20" w:type="nil"/>
              <w:left w:w="20" w:type="nil"/>
              <w:bottom w:w="20" w:type="nil"/>
              <w:right w:w="20" w:type="nil"/>
            </w:tcMar>
            <w:vAlign w:val="center"/>
          </w:tcPr>
          <w:p w14:paraId="48926EBD" w14:textId="77777777" w:rsidR="001934CA" w:rsidRPr="00D15CB5" w:rsidRDefault="001934CA" w:rsidP="001934CA">
            <w:pPr>
              <w:rPr>
                <w:rFonts w:ascii="Arial" w:hAnsi="Arial" w:cs="Arial"/>
                <w:b/>
                <w:bCs/>
                <w:sz w:val="22"/>
                <w:szCs w:val="22"/>
              </w:rPr>
            </w:pPr>
            <w:r w:rsidRPr="00D15CB5">
              <w:rPr>
                <w:rFonts w:ascii="Arial" w:hAnsi="Arial" w:cs="Arial"/>
                <w:b/>
                <w:bCs/>
                <w:sz w:val="22"/>
                <w:szCs w:val="22"/>
              </w:rPr>
              <w:t xml:space="preserve">C </w:t>
            </w:r>
          </w:p>
        </w:tc>
        <w:tc>
          <w:tcPr>
            <w:tcW w:w="14000" w:type="dxa"/>
            <w:tcBorders>
              <w:right w:val="nil"/>
            </w:tcBorders>
            <w:tcMar>
              <w:top w:w="20" w:type="nil"/>
              <w:left w:w="20" w:type="nil"/>
              <w:bottom w:w="20" w:type="nil"/>
              <w:right w:w="20" w:type="nil"/>
            </w:tcMar>
            <w:vAlign w:val="center"/>
          </w:tcPr>
          <w:p w14:paraId="34AF2353" w14:textId="34871677" w:rsidR="001934CA" w:rsidRPr="00D15CB5" w:rsidRDefault="001934CA" w:rsidP="001934CA">
            <w:pPr>
              <w:rPr>
                <w:rFonts w:ascii="Arial" w:hAnsi="Arial" w:cs="Arial"/>
                <w:b/>
                <w:bCs/>
                <w:sz w:val="22"/>
                <w:szCs w:val="22"/>
              </w:rPr>
            </w:pPr>
            <w:r w:rsidRPr="00D15CB5">
              <w:rPr>
                <w:rFonts w:ascii="Arial" w:hAnsi="Arial" w:cs="Arial"/>
                <w:b/>
                <w:bCs/>
                <w:sz w:val="22"/>
                <w:szCs w:val="22"/>
              </w:rPr>
              <w:t>76</w:t>
            </w:r>
            <w:r w:rsidR="006D13CD">
              <w:rPr>
                <w:rFonts w:ascii="Arial" w:hAnsi="Arial" w:cs="Arial"/>
                <w:b/>
                <w:bCs/>
                <w:sz w:val="22"/>
                <w:szCs w:val="22"/>
              </w:rPr>
              <w:t xml:space="preserve">.9 </w:t>
            </w:r>
            <w:r w:rsidRPr="00D15CB5">
              <w:rPr>
                <w:rFonts w:ascii="Arial" w:hAnsi="Arial" w:cs="Arial"/>
                <w:b/>
                <w:bCs/>
                <w:sz w:val="22"/>
                <w:szCs w:val="22"/>
              </w:rPr>
              <w:t>-</w:t>
            </w:r>
            <w:r w:rsidR="006D13CD">
              <w:rPr>
                <w:rFonts w:ascii="Arial" w:hAnsi="Arial" w:cs="Arial"/>
                <w:b/>
                <w:bCs/>
                <w:sz w:val="22"/>
                <w:szCs w:val="22"/>
              </w:rPr>
              <w:t xml:space="preserve"> </w:t>
            </w:r>
            <w:r w:rsidRPr="00D15CB5">
              <w:rPr>
                <w:rFonts w:ascii="Arial" w:hAnsi="Arial" w:cs="Arial"/>
                <w:b/>
                <w:bCs/>
                <w:sz w:val="22"/>
                <w:szCs w:val="22"/>
              </w:rPr>
              <w:t xml:space="preserve">73 </w:t>
            </w:r>
          </w:p>
        </w:tc>
      </w:tr>
      <w:tr w:rsidR="001934CA" w:rsidRPr="00D15CB5" w14:paraId="731A3A54" w14:textId="77777777" w:rsidTr="001934CA">
        <w:tblPrEx>
          <w:tblBorders>
            <w:top w:val="none" w:sz="0" w:space="0" w:color="auto"/>
          </w:tblBorders>
        </w:tblPrEx>
        <w:tc>
          <w:tcPr>
            <w:tcW w:w="1098" w:type="dxa"/>
            <w:tcBorders>
              <w:left w:val="nil"/>
            </w:tcBorders>
            <w:tcMar>
              <w:top w:w="20" w:type="nil"/>
              <w:left w:w="20" w:type="nil"/>
              <w:bottom w:w="20" w:type="nil"/>
              <w:right w:w="20" w:type="nil"/>
            </w:tcMar>
            <w:vAlign w:val="center"/>
          </w:tcPr>
          <w:p w14:paraId="7A55B02B" w14:textId="77777777" w:rsidR="001934CA" w:rsidRPr="00D15CB5" w:rsidRDefault="001934CA" w:rsidP="001934CA">
            <w:pPr>
              <w:rPr>
                <w:rFonts w:ascii="Arial" w:hAnsi="Arial" w:cs="Arial"/>
                <w:b/>
                <w:bCs/>
                <w:sz w:val="22"/>
                <w:szCs w:val="22"/>
              </w:rPr>
            </w:pPr>
            <w:r w:rsidRPr="00D15CB5">
              <w:rPr>
                <w:rFonts w:ascii="Arial" w:hAnsi="Arial" w:cs="Arial"/>
                <w:b/>
                <w:bCs/>
                <w:sz w:val="22"/>
                <w:szCs w:val="22"/>
              </w:rPr>
              <w:t>C</w:t>
            </w:r>
            <w:r w:rsidRPr="00D15CB5">
              <w:rPr>
                <w:rFonts w:ascii="Arial" w:hAnsi="Arial" w:cs="Arial"/>
                <w:b/>
                <w:bCs/>
                <w:sz w:val="22"/>
                <w:szCs w:val="22"/>
              </w:rPr>
              <w:softHyphen/>
            </w:r>
          </w:p>
        </w:tc>
        <w:tc>
          <w:tcPr>
            <w:tcW w:w="14000" w:type="dxa"/>
            <w:tcBorders>
              <w:right w:val="nil"/>
            </w:tcBorders>
            <w:tcMar>
              <w:top w:w="20" w:type="nil"/>
              <w:left w:w="20" w:type="nil"/>
              <w:bottom w:w="20" w:type="nil"/>
              <w:right w:w="20" w:type="nil"/>
            </w:tcMar>
            <w:vAlign w:val="center"/>
          </w:tcPr>
          <w:p w14:paraId="44545A55" w14:textId="66FBD785" w:rsidR="001934CA" w:rsidRPr="00D15CB5" w:rsidRDefault="001934CA" w:rsidP="001934CA">
            <w:pPr>
              <w:rPr>
                <w:rFonts w:ascii="Arial" w:hAnsi="Arial" w:cs="Arial"/>
                <w:b/>
                <w:bCs/>
                <w:sz w:val="22"/>
                <w:szCs w:val="22"/>
              </w:rPr>
            </w:pPr>
            <w:r w:rsidRPr="00D15CB5">
              <w:rPr>
                <w:rFonts w:ascii="Arial" w:hAnsi="Arial" w:cs="Arial"/>
                <w:b/>
                <w:bCs/>
                <w:sz w:val="22"/>
                <w:szCs w:val="22"/>
              </w:rPr>
              <w:t>72</w:t>
            </w:r>
            <w:r w:rsidR="006D13CD">
              <w:rPr>
                <w:rFonts w:ascii="Arial" w:hAnsi="Arial" w:cs="Arial"/>
                <w:b/>
                <w:bCs/>
                <w:sz w:val="22"/>
                <w:szCs w:val="22"/>
              </w:rPr>
              <w:t xml:space="preserve">.9 </w:t>
            </w:r>
            <w:r w:rsidRPr="00D15CB5">
              <w:rPr>
                <w:rFonts w:ascii="Arial" w:hAnsi="Arial" w:cs="Arial"/>
                <w:b/>
                <w:bCs/>
                <w:sz w:val="22"/>
                <w:szCs w:val="22"/>
              </w:rPr>
              <w:t>-</w:t>
            </w:r>
            <w:r w:rsidR="006D13CD">
              <w:rPr>
                <w:rFonts w:ascii="Arial" w:hAnsi="Arial" w:cs="Arial"/>
                <w:b/>
                <w:bCs/>
                <w:sz w:val="22"/>
                <w:szCs w:val="22"/>
              </w:rPr>
              <w:t xml:space="preserve"> </w:t>
            </w:r>
            <w:r w:rsidRPr="00D15CB5">
              <w:rPr>
                <w:rFonts w:ascii="Arial" w:hAnsi="Arial" w:cs="Arial"/>
                <w:b/>
                <w:bCs/>
                <w:sz w:val="22"/>
                <w:szCs w:val="22"/>
              </w:rPr>
              <w:t xml:space="preserve">70 </w:t>
            </w:r>
          </w:p>
        </w:tc>
      </w:tr>
      <w:tr w:rsidR="001934CA" w:rsidRPr="00D15CB5" w14:paraId="34EC4044" w14:textId="77777777" w:rsidTr="001934CA">
        <w:tblPrEx>
          <w:tblBorders>
            <w:top w:val="none" w:sz="0" w:space="0" w:color="auto"/>
          </w:tblBorders>
        </w:tblPrEx>
        <w:tc>
          <w:tcPr>
            <w:tcW w:w="1098" w:type="dxa"/>
            <w:tcBorders>
              <w:left w:val="nil"/>
            </w:tcBorders>
            <w:tcMar>
              <w:top w:w="20" w:type="nil"/>
              <w:left w:w="20" w:type="nil"/>
              <w:bottom w:w="20" w:type="nil"/>
              <w:right w:w="20" w:type="nil"/>
            </w:tcMar>
            <w:vAlign w:val="center"/>
          </w:tcPr>
          <w:p w14:paraId="503CA558" w14:textId="77777777" w:rsidR="001934CA" w:rsidRPr="00D15CB5" w:rsidRDefault="001934CA" w:rsidP="001934CA">
            <w:pPr>
              <w:rPr>
                <w:rFonts w:ascii="Arial" w:hAnsi="Arial" w:cs="Arial"/>
                <w:b/>
                <w:bCs/>
                <w:sz w:val="22"/>
                <w:szCs w:val="22"/>
              </w:rPr>
            </w:pPr>
            <w:r w:rsidRPr="00D15CB5">
              <w:rPr>
                <w:rFonts w:ascii="Arial" w:hAnsi="Arial" w:cs="Arial"/>
                <w:b/>
                <w:bCs/>
                <w:sz w:val="22"/>
                <w:szCs w:val="22"/>
              </w:rPr>
              <w:t xml:space="preserve">D+ </w:t>
            </w:r>
          </w:p>
        </w:tc>
        <w:tc>
          <w:tcPr>
            <w:tcW w:w="14000" w:type="dxa"/>
            <w:tcBorders>
              <w:right w:val="nil"/>
            </w:tcBorders>
            <w:tcMar>
              <w:top w:w="20" w:type="nil"/>
              <w:left w:w="20" w:type="nil"/>
              <w:bottom w:w="20" w:type="nil"/>
              <w:right w:w="20" w:type="nil"/>
            </w:tcMar>
            <w:vAlign w:val="center"/>
          </w:tcPr>
          <w:p w14:paraId="41A01256" w14:textId="07A375E1" w:rsidR="001934CA" w:rsidRPr="00D15CB5" w:rsidRDefault="001934CA" w:rsidP="001934CA">
            <w:pPr>
              <w:rPr>
                <w:rFonts w:ascii="Arial" w:hAnsi="Arial" w:cs="Arial"/>
                <w:b/>
                <w:bCs/>
                <w:sz w:val="22"/>
                <w:szCs w:val="22"/>
              </w:rPr>
            </w:pPr>
            <w:r w:rsidRPr="00D15CB5">
              <w:rPr>
                <w:rFonts w:ascii="Arial" w:hAnsi="Arial" w:cs="Arial"/>
                <w:b/>
                <w:bCs/>
                <w:sz w:val="22"/>
                <w:szCs w:val="22"/>
              </w:rPr>
              <w:t>69</w:t>
            </w:r>
            <w:r w:rsidR="006D13CD">
              <w:rPr>
                <w:rFonts w:ascii="Arial" w:hAnsi="Arial" w:cs="Arial"/>
                <w:b/>
                <w:bCs/>
                <w:sz w:val="22"/>
                <w:szCs w:val="22"/>
              </w:rPr>
              <w:t xml:space="preserve">.9 </w:t>
            </w:r>
            <w:r w:rsidRPr="00D15CB5">
              <w:rPr>
                <w:rFonts w:ascii="Arial" w:hAnsi="Arial" w:cs="Arial"/>
                <w:b/>
                <w:bCs/>
                <w:sz w:val="22"/>
                <w:szCs w:val="22"/>
              </w:rPr>
              <w:t>-</w:t>
            </w:r>
            <w:r w:rsidR="006D13CD">
              <w:rPr>
                <w:rFonts w:ascii="Arial" w:hAnsi="Arial" w:cs="Arial"/>
                <w:b/>
                <w:bCs/>
                <w:sz w:val="22"/>
                <w:szCs w:val="22"/>
              </w:rPr>
              <w:t xml:space="preserve"> </w:t>
            </w:r>
            <w:r w:rsidRPr="00D15CB5">
              <w:rPr>
                <w:rFonts w:ascii="Arial" w:hAnsi="Arial" w:cs="Arial"/>
                <w:b/>
                <w:bCs/>
                <w:sz w:val="22"/>
                <w:szCs w:val="22"/>
              </w:rPr>
              <w:t xml:space="preserve">67 </w:t>
            </w:r>
          </w:p>
        </w:tc>
      </w:tr>
      <w:tr w:rsidR="001934CA" w:rsidRPr="00D15CB5" w14:paraId="5C81848F" w14:textId="77777777" w:rsidTr="001934CA">
        <w:tblPrEx>
          <w:tblBorders>
            <w:top w:val="none" w:sz="0" w:space="0" w:color="auto"/>
          </w:tblBorders>
        </w:tblPrEx>
        <w:tc>
          <w:tcPr>
            <w:tcW w:w="1098" w:type="dxa"/>
            <w:tcBorders>
              <w:left w:val="nil"/>
            </w:tcBorders>
            <w:tcMar>
              <w:top w:w="20" w:type="nil"/>
              <w:left w:w="20" w:type="nil"/>
              <w:bottom w:w="20" w:type="nil"/>
              <w:right w:w="20" w:type="nil"/>
            </w:tcMar>
            <w:vAlign w:val="center"/>
          </w:tcPr>
          <w:p w14:paraId="666A2E11" w14:textId="77777777" w:rsidR="001934CA" w:rsidRPr="00D15CB5" w:rsidRDefault="001934CA" w:rsidP="001934CA">
            <w:pPr>
              <w:rPr>
                <w:rFonts w:ascii="Arial" w:hAnsi="Arial" w:cs="Arial"/>
                <w:b/>
                <w:bCs/>
                <w:sz w:val="22"/>
                <w:szCs w:val="22"/>
              </w:rPr>
            </w:pPr>
            <w:r w:rsidRPr="00D15CB5">
              <w:rPr>
                <w:rFonts w:ascii="Arial" w:hAnsi="Arial" w:cs="Arial"/>
                <w:b/>
                <w:bCs/>
                <w:sz w:val="22"/>
                <w:szCs w:val="22"/>
              </w:rPr>
              <w:t xml:space="preserve">D </w:t>
            </w:r>
          </w:p>
        </w:tc>
        <w:tc>
          <w:tcPr>
            <w:tcW w:w="14000" w:type="dxa"/>
            <w:tcBorders>
              <w:right w:val="nil"/>
            </w:tcBorders>
            <w:tcMar>
              <w:top w:w="20" w:type="nil"/>
              <w:left w:w="20" w:type="nil"/>
              <w:bottom w:w="20" w:type="nil"/>
              <w:right w:w="20" w:type="nil"/>
            </w:tcMar>
            <w:vAlign w:val="center"/>
          </w:tcPr>
          <w:p w14:paraId="12763951" w14:textId="5435E68D" w:rsidR="001934CA" w:rsidRPr="00D15CB5" w:rsidRDefault="001934CA" w:rsidP="001934CA">
            <w:pPr>
              <w:rPr>
                <w:rFonts w:ascii="Arial" w:hAnsi="Arial" w:cs="Arial"/>
                <w:b/>
                <w:bCs/>
                <w:sz w:val="22"/>
                <w:szCs w:val="22"/>
              </w:rPr>
            </w:pPr>
            <w:r w:rsidRPr="00D15CB5">
              <w:rPr>
                <w:rFonts w:ascii="Arial" w:hAnsi="Arial" w:cs="Arial"/>
                <w:b/>
                <w:bCs/>
                <w:sz w:val="22"/>
                <w:szCs w:val="22"/>
              </w:rPr>
              <w:t>66</w:t>
            </w:r>
            <w:r w:rsidR="006D13CD">
              <w:rPr>
                <w:rFonts w:ascii="Arial" w:hAnsi="Arial" w:cs="Arial"/>
                <w:b/>
                <w:bCs/>
                <w:sz w:val="22"/>
                <w:szCs w:val="22"/>
              </w:rPr>
              <w:t xml:space="preserve">.9 </w:t>
            </w:r>
            <w:r w:rsidRPr="00D15CB5">
              <w:rPr>
                <w:rFonts w:ascii="Arial" w:hAnsi="Arial" w:cs="Arial"/>
                <w:b/>
                <w:bCs/>
                <w:sz w:val="22"/>
                <w:szCs w:val="22"/>
              </w:rPr>
              <w:t>-</w:t>
            </w:r>
            <w:r w:rsidR="006D13CD">
              <w:rPr>
                <w:rFonts w:ascii="Arial" w:hAnsi="Arial" w:cs="Arial"/>
                <w:b/>
                <w:bCs/>
                <w:sz w:val="22"/>
                <w:szCs w:val="22"/>
              </w:rPr>
              <w:t xml:space="preserve"> </w:t>
            </w:r>
            <w:r w:rsidRPr="00D15CB5">
              <w:rPr>
                <w:rFonts w:ascii="Arial" w:hAnsi="Arial" w:cs="Arial"/>
                <w:b/>
                <w:bCs/>
                <w:sz w:val="22"/>
                <w:szCs w:val="22"/>
              </w:rPr>
              <w:t xml:space="preserve">63 </w:t>
            </w:r>
          </w:p>
        </w:tc>
      </w:tr>
      <w:tr w:rsidR="001934CA" w:rsidRPr="00D15CB5" w14:paraId="3A2FBB51" w14:textId="77777777" w:rsidTr="001934CA">
        <w:tblPrEx>
          <w:tblBorders>
            <w:top w:val="none" w:sz="0" w:space="0" w:color="auto"/>
          </w:tblBorders>
        </w:tblPrEx>
        <w:tc>
          <w:tcPr>
            <w:tcW w:w="1098" w:type="dxa"/>
            <w:tcBorders>
              <w:left w:val="nil"/>
            </w:tcBorders>
            <w:tcMar>
              <w:top w:w="20" w:type="nil"/>
              <w:left w:w="20" w:type="nil"/>
              <w:bottom w:w="20" w:type="nil"/>
              <w:right w:w="20" w:type="nil"/>
            </w:tcMar>
            <w:vAlign w:val="center"/>
          </w:tcPr>
          <w:p w14:paraId="6FC73B43" w14:textId="77777777" w:rsidR="001934CA" w:rsidRPr="00D15CB5" w:rsidRDefault="001934CA" w:rsidP="001934CA">
            <w:pPr>
              <w:rPr>
                <w:rFonts w:ascii="Arial" w:hAnsi="Arial" w:cs="Arial"/>
                <w:b/>
                <w:bCs/>
                <w:sz w:val="22"/>
                <w:szCs w:val="22"/>
              </w:rPr>
            </w:pPr>
            <w:r w:rsidRPr="00D15CB5">
              <w:rPr>
                <w:rFonts w:ascii="Arial" w:hAnsi="Arial" w:cs="Arial"/>
                <w:b/>
                <w:bCs/>
                <w:sz w:val="22"/>
                <w:szCs w:val="22"/>
              </w:rPr>
              <w:t>D</w:t>
            </w:r>
            <w:r w:rsidRPr="00D15CB5">
              <w:rPr>
                <w:rFonts w:ascii="Arial" w:hAnsi="Arial" w:cs="Arial"/>
                <w:b/>
                <w:bCs/>
                <w:sz w:val="22"/>
                <w:szCs w:val="22"/>
              </w:rPr>
              <w:softHyphen/>
            </w:r>
          </w:p>
        </w:tc>
        <w:tc>
          <w:tcPr>
            <w:tcW w:w="14000" w:type="dxa"/>
            <w:tcBorders>
              <w:right w:val="nil"/>
            </w:tcBorders>
            <w:tcMar>
              <w:top w:w="20" w:type="nil"/>
              <w:left w:w="20" w:type="nil"/>
              <w:bottom w:w="20" w:type="nil"/>
              <w:right w:w="20" w:type="nil"/>
            </w:tcMar>
            <w:vAlign w:val="center"/>
          </w:tcPr>
          <w:p w14:paraId="493966F6" w14:textId="06B1A681" w:rsidR="001934CA" w:rsidRPr="00D15CB5" w:rsidRDefault="001934CA" w:rsidP="001934CA">
            <w:pPr>
              <w:rPr>
                <w:rFonts w:ascii="Arial" w:hAnsi="Arial" w:cs="Arial"/>
                <w:b/>
                <w:bCs/>
                <w:sz w:val="22"/>
                <w:szCs w:val="22"/>
              </w:rPr>
            </w:pPr>
            <w:r w:rsidRPr="00D15CB5">
              <w:rPr>
                <w:rFonts w:ascii="Arial" w:hAnsi="Arial" w:cs="Arial"/>
                <w:b/>
                <w:bCs/>
                <w:sz w:val="22"/>
                <w:szCs w:val="22"/>
              </w:rPr>
              <w:t>62</w:t>
            </w:r>
            <w:r w:rsidR="006D13CD">
              <w:rPr>
                <w:rFonts w:ascii="Arial" w:hAnsi="Arial" w:cs="Arial"/>
                <w:b/>
                <w:bCs/>
                <w:sz w:val="22"/>
                <w:szCs w:val="22"/>
              </w:rPr>
              <w:t xml:space="preserve">.9 </w:t>
            </w:r>
            <w:r w:rsidRPr="00D15CB5">
              <w:rPr>
                <w:rFonts w:ascii="Arial" w:hAnsi="Arial" w:cs="Arial"/>
                <w:b/>
                <w:bCs/>
                <w:sz w:val="22"/>
                <w:szCs w:val="22"/>
              </w:rPr>
              <w:t>-</w:t>
            </w:r>
            <w:r w:rsidR="006D13CD">
              <w:rPr>
                <w:rFonts w:ascii="Arial" w:hAnsi="Arial" w:cs="Arial"/>
                <w:b/>
                <w:bCs/>
                <w:sz w:val="22"/>
                <w:szCs w:val="22"/>
              </w:rPr>
              <w:t xml:space="preserve"> </w:t>
            </w:r>
            <w:r w:rsidRPr="00D15CB5">
              <w:rPr>
                <w:rFonts w:ascii="Arial" w:hAnsi="Arial" w:cs="Arial"/>
                <w:b/>
                <w:bCs/>
                <w:sz w:val="22"/>
                <w:szCs w:val="22"/>
              </w:rPr>
              <w:t xml:space="preserve">60 </w:t>
            </w:r>
          </w:p>
        </w:tc>
      </w:tr>
      <w:tr w:rsidR="001934CA" w:rsidRPr="00D15CB5" w14:paraId="1E8322DF" w14:textId="77777777" w:rsidTr="001934CA">
        <w:tblPrEx>
          <w:tblBorders>
            <w:top w:val="none" w:sz="0" w:space="0" w:color="auto"/>
          </w:tblBorders>
        </w:tblPrEx>
        <w:tc>
          <w:tcPr>
            <w:tcW w:w="1098" w:type="dxa"/>
            <w:tcBorders>
              <w:left w:val="nil"/>
            </w:tcBorders>
            <w:tcMar>
              <w:top w:w="20" w:type="nil"/>
              <w:left w:w="20" w:type="nil"/>
              <w:bottom w:w="20" w:type="nil"/>
              <w:right w:w="20" w:type="nil"/>
            </w:tcMar>
            <w:vAlign w:val="center"/>
          </w:tcPr>
          <w:p w14:paraId="5431E4FF" w14:textId="77777777" w:rsidR="001934CA" w:rsidRPr="00D15CB5" w:rsidRDefault="001934CA" w:rsidP="001934CA">
            <w:pPr>
              <w:rPr>
                <w:rFonts w:ascii="Arial" w:hAnsi="Arial" w:cs="Arial"/>
                <w:b/>
                <w:bCs/>
                <w:sz w:val="22"/>
                <w:szCs w:val="22"/>
              </w:rPr>
            </w:pPr>
            <w:r w:rsidRPr="00D15CB5">
              <w:rPr>
                <w:rFonts w:ascii="Arial" w:hAnsi="Arial" w:cs="Arial"/>
                <w:b/>
                <w:bCs/>
                <w:sz w:val="22"/>
                <w:szCs w:val="22"/>
              </w:rPr>
              <w:t xml:space="preserve">E </w:t>
            </w:r>
          </w:p>
        </w:tc>
        <w:tc>
          <w:tcPr>
            <w:tcW w:w="14000" w:type="dxa"/>
            <w:tcBorders>
              <w:right w:val="nil"/>
            </w:tcBorders>
            <w:tcMar>
              <w:top w:w="20" w:type="nil"/>
              <w:left w:w="20" w:type="nil"/>
              <w:bottom w:w="20" w:type="nil"/>
              <w:right w:w="20" w:type="nil"/>
            </w:tcMar>
            <w:vAlign w:val="center"/>
          </w:tcPr>
          <w:p w14:paraId="192AEAEC" w14:textId="7863AB61" w:rsidR="001934CA" w:rsidRPr="00D15CB5" w:rsidRDefault="001934CA" w:rsidP="001934CA">
            <w:pPr>
              <w:rPr>
                <w:rFonts w:ascii="Arial" w:hAnsi="Arial" w:cs="Arial"/>
                <w:b/>
                <w:bCs/>
                <w:sz w:val="22"/>
                <w:szCs w:val="22"/>
              </w:rPr>
            </w:pPr>
            <w:r w:rsidRPr="00D15CB5">
              <w:rPr>
                <w:rFonts w:ascii="Arial" w:hAnsi="Arial" w:cs="Arial"/>
                <w:b/>
                <w:bCs/>
                <w:sz w:val="22"/>
                <w:szCs w:val="22"/>
              </w:rPr>
              <w:t>59</w:t>
            </w:r>
            <w:r w:rsidR="006D13CD">
              <w:rPr>
                <w:rFonts w:ascii="Arial" w:hAnsi="Arial" w:cs="Arial"/>
                <w:b/>
                <w:bCs/>
                <w:sz w:val="22"/>
                <w:szCs w:val="22"/>
              </w:rPr>
              <w:t>.9</w:t>
            </w:r>
            <w:r w:rsidRPr="00D15CB5">
              <w:rPr>
                <w:rFonts w:ascii="Arial" w:hAnsi="Arial" w:cs="Arial"/>
                <w:b/>
                <w:bCs/>
                <w:sz w:val="22"/>
                <w:szCs w:val="22"/>
              </w:rPr>
              <w:t xml:space="preserve"> -</w:t>
            </w:r>
            <w:r w:rsidR="006D13CD">
              <w:rPr>
                <w:rFonts w:ascii="Arial" w:hAnsi="Arial" w:cs="Arial"/>
                <w:b/>
                <w:bCs/>
                <w:sz w:val="22"/>
                <w:szCs w:val="22"/>
              </w:rPr>
              <w:t xml:space="preserve"> </w:t>
            </w:r>
            <w:r w:rsidRPr="00D15CB5">
              <w:rPr>
                <w:rFonts w:ascii="Arial" w:hAnsi="Arial" w:cs="Arial"/>
                <w:b/>
                <w:bCs/>
                <w:sz w:val="22"/>
                <w:szCs w:val="22"/>
              </w:rPr>
              <w:t xml:space="preserve">0 </w:t>
            </w:r>
          </w:p>
        </w:tc>
      </w:tr>
    </w:tbl>
    <w:p w14:paraId="27DD9543" w14:textId="77777777" w:rsidR="001934CA" w:rsidRPr="00D15CB5" w:rsidRDefault="001934CA" w:rsidP="00620E0A">
      <w:pPr>
        <w:widowControl w:val="0"/>
        <w:autoSpaceDE w:val="0"/>
        <w:autoSpaceDN w:val="0"/>
        <w:adjustRightInd w:val="0"/>
        <w:spacing w:after="240"/>
        <w:rPr>
          <w:rFonts w:ascii="Arial" w:hAnsi="Arial" w:cs="Arial"/>
          <w:b/>
          <w:bCs/>
          <w:sz w:val="22"/>
          <w:szCs w:val="22"/>
        </w:rPr>
      </w:pPr>
    </w:p>
    <w:p w14:paraId="75F63AFE" w14:textId="77777777" w:rsidR="00620E0A" w:rsidRPr="00D15CB5" w:rsidRDefault="00620E0A" w:rsidP="00620E0A">
      <w:pPr>
        <w:widowControl w:val="0"/>
        <w:autoSpaceDE w:val="0"/>
        <w:autoSpaceDN w:val="0"/>
        <w:adjustRightInd w:val="0"/>
        <w:spacing w:after="240"/>
        <w:rPr>
          <w:rFonts w:ascii="Arial" w:hAnsi="Arial" w:cs="Arial"/>
          <w:sz w:val="22"/>
          <w:szCs w:val="22"/>
        </w:rPr>
      </w:pPr>
      <w:r w:rsidRPr="00D15CB5">
        <w:rPr>
          <w:rFonts w:ascii="Arial" w:hAnsi="Arial" w:cs="Arial"/>
          <w:b/>
          <w:bCs/>
          <w:sz w:val="22"/>
          <w:szCs w:val="22"/>
        </w:rPr>
        <w:t>For more information on grades and grading policies, please visit:</w:t>
      </w:r>
    </w:p>
    <w:p w14:paraId="02422148" w14:textId="77777777" w:rsidR="00620E0A" w:rsidRPr="00D15CB5" w:rsidRDefault="00620E0A" w:rsidP="00620E0A">
      <w:pPr>
        <w:widowControl w:val="0"/>
        <w:autoSpaceDE w:val="0"/>
        <w:autoSpaceDN w:val="0"/>
        <w:adjustRightInd w:val="0"/>
        <w:spacing w:after="240"/>
        <w:rPr>
          <w:rFonts w:ascii="Arial" w:hAnsi="Arial" w:cs="Arial"/>
          <w:sz w:val="22"/>
          <w:szCs w:val="22"/>
        </w:rPr>
      </w:pPr>
      <w:r w:rsidRPr="00D15CB5">
        <w:rPr>
          <w:rFonts w:ascii="Arial" w:hAnsi="Arial" w:cs="Arial"/>
          <w:color w:val="0000FF"/>
          <w:sz w:val="22"/>
          <w:szCs w:val="22"/>
        </w:rPr>
        <w:t>https://catalog.ufl.edu/ugrad/current/regulations/info/grades.aspx</w:t>
      </w:r>
    </w:p>
    <w:p w14:paraId="25D7F24A" w14:textId="77777777" w:rsidR="00620E0A" w:rsidRPr="00D15CB5" w:rsidRDefault="00620E0A" w:rsidP="00203A44">
      <w:pPr>
        <w:widowControl w:val="0"/>
        <w:autoSpaceDE w:val="0"/>
        <w:autoSpaceDN w:val="0"/>
        <w:adjustRightInd w:val="0"/>
        <w:rPr>
          <w:rFonts w:ascii="Arial" w:hAnsi="Arial" w:cs="Arial"/>
          <w:b/>
          <w:sz w:val="22"/>
          <w:szCs w:val="22"/>
        </w:rPr>
      </w:pPr>
    </w:p>
    <w:p w14:paraId="618E813E" w14:textId="7DFE64A1" w:rsidR="00203A44" w:rsidRPr="00D15CB5" w:rsidRDefault="00203A44" w:rsidP="0004150E">
      <w:pPr>
        <w:rPr>
          <w:rFonts w:ascii="Arial" w:hAnsi="Arial" w:cs="Arial"/>
          <w:b/>
          <w:sz w:val="22"/>
          <w:szCs w:val="22"/>
        </w:rPr>
      </w:pPr>
      <w:r w:rsidRPr="00D15CB5">
        <w:rPr>
          <w:rFonts w:ascii="Arial" w:hAnsi="Arial" w:cs="Arial"/>
          <w:b/>
          <w:sz w:val="22"/>
          <w:szCs w:val="22"/>
        </w:rPr>
        <w:t>Attendance Policy</w:t>
      </w:r>
    </w:p>
    <w:p w14:paraId="33011E10" w14:textId="77777777" w:rsidR="00203A44" w:rsidRPr="00D15CB5" w:rsidRDefault="00203A44" w:rsidP="00203A44">
      <w:pPr>
        <w:widowControl w:val="0"/>
        <w:autoSpaceDE w:val="0"/>
        <w:autoSpaceDN w:val="0"/>
        <w:adjustRightInd w:val="0"/>
        <w:rPr>
          <w:rFonts w:ascii="Arial" w:hAnsi="Arial" w:cs="Arial"/>
          <w:sz w:val="22"/>
          <w:szCs w:val="22"/>
        </w:rPr>
      </w:pPr>
      <w:r w:rsidRPr="00D15CB5">
        <w:rPr>
          <w:rFonts w:ascii="Arial" w:hAnsi="Arial" w:cs="Arial"/>
          <w:sz w:val="22"/>
          <w:szCs w:val="22"/>
        </w:rPr>
        <w:t xml:space="preserve">Class attendance is mandatory. Excused absences follow the criteria of the UF Graduate Catalog (e.g., illness, serious family emergency, military obligations, religious holidays), and should be communicated to the instructor prior to the missed class day when possible. The UF Graduate Catalog is available at </w:t>
      </w:r>
      <w:hyperlink r:id="rId8" w:history="1">
        <w:r w:rsidRPr="00D15CB5">
          <w:rPr>
            <w:rFonts w:ascii="Arial" w:hAnsi="Arial" w:cs="Arial"/>
            <w:color w:val="0000EE"/>
            <w:sz w:val="22"/>
            <w:szCs w:val="22"/>
            <w:u w:val="single" w:color="0000EE"/>
          </w:rPr>
          <w:t>http://gradcatalog.ufl.edu/</w:t>
        </w:r>
      </w:hyperlink>
      <w:r w:rsidRPr="00D15CB5">
        <w:rPr>
          <w:rFonts w:ascii="Arial" w:hAnsi="Arial" w:cs="Arial"/>
          <w:sz w:val="22"/>
          <w:szCs w:val="22"/>
        </w:rPr>
        <w:t>.</w:t>
      </w:r>
    </w:p>
    <w:p w14:paraId="4CEB23ED" w14:textId="77777777" w:rsidR="00203A44" w:rsidRPr="00D15CB5" w:rsidRDefault="00203A44" w:rsidP="00203A44">
      <w:pPr>
        <w:widowControl w:val="0"/>
        <w:autoSpaceDE w:val="0"/>
        <w:autoSpaceDN w:val="0"/>
        <w:adjustRightInd w:val="0"/>
        <w:rPr>
          <w:rFonts w:ascii="Arial" w:hAnsi="Arial" w:cs="Arial"/>
          <w:sz w:val="22"/>
          <w:szCs w:val="22"/>
        </w:rPr>
      </w:pPr>
    </w:p>
    <w:p w14:paraId="1491C3E7" w14:textId="0A0A69D6" w:rsidR="002D4C42" w:rsidRPr="002D4C42" w:rsidRDefault="0004150E" w:rsidP="002D4C42">
      <w:pPr>
        <w:rPr>
          <w:rFonts w:ascii="Arial" w:hAnsi="Arial" w:cs="Arial"/>
          <w:sz w:val="22"/>
          <w:szCs w:val="22"/>
        </w:rPr>
      </w:pPr>
      <w:r>
        <w:rPr>
          <w:rFonts w:ascii="Arial" w:hAnsi="Arial" w:cs="Arial"/>
          <w:sz w:val="22"/>
          <w:szCs w:val="22"/>
        </w:rPr>
        <w:t xml:space="preserve">Students must still inform the instructor of unexcused absences. A single unexcused absence will have no effect on the course grade, but the student will be expected to read and understand course material for the missed session. A second unexcused absence will result in a letter grade reduction (e.g. A becomes B). Each subsequent undexcused absence results in another letter grade reduction. </w:t>
      </w:r>
      <w:r w:rsidR="002D4C42" w:rsidRPr="002D4C42">
        <w:rPr>
          <w:rFonts w:ascii="Arial" w:hAnsi="Arial" w:cs="Arial"/>
          <w:sz w:val="22"/>
          <w:szCs w:val="22"/>
        </w:rPr>
        <w:t xml:space="preserve">Regardless of attendance, students are responsible for all material presented in class and meeting the scheduled due dates for class assignments.  Personal issues with respect to class attendance or fulfillment of course requirements will be handled on an individual basis.  </w:t>
      </w:r>
    </w:p>
    <w:p w14:paraId="73CE2C50" w14:textId="23DDF1CB" w:rsidR="00203A44" w:rsidRPr="00D15CB5" w:rsidRDefault="00203A44" w:rsidP="00203A44">
      <w:pPr>
        <w:widowControl w:val="0"/>
        <w:autoSpaceDE w:val="0"/>
        <w:autoSpaceDN w:val="0"/>
        <w:adjustRightInd w:val="0"/>
        <w:rPr>
          <w:rFonts w:ascii="Arial" w:hAnsi="Arial" w:cs="Arial"/>
          <w:sz w:val="22"/>
          <w:szCs w:val="22"/>
        </w:rPr>
      </w:pPr>
      <w:r w:rsidRPr="00D15CB5">
        <w:rPr>
          <w:rFonts w:ascii="Arial" w:hAnsi="Arial" w:cs="Arial"/>
          <w:sz w:val="22"/>
          <w:szCs w:val="22"/>
        </w:rPr>
        <w:t xml:space="preserve"> </w:t>
      </w:r>
    </w:p>
    <w:p w14:paraId="2066A34B" w14:textId="77777777" w:rsidR="00203A44" w:rsidRPr="00D15CB5" w:rsidRDefault="00203A44" w:rsidP="00203A44">
      <w:pPr>
        <w:widowControl w:val="0"/>
        <w:autoSpaceDE w:val="0"/>
        <w:autoSpaceDN w:val="0"/>
        <w:adjustRightInd w:val="0"/>
        <w:rPr>
          <w:rFonts w:ascii="Arial" w:hAnsi="Arial" w:cs="Arial"/>
          <w:sz w:val="22"/>
          <w:szCs w:val="22"/>
        </w:rPr>
      </w:pPr>
    </w:p>
    <w:p w14:paraId="1C93458C" w14:textId="77777777" w:rsidR="00203A44" w:rsidRPr="00D15CB5" w:rsidRDefault="004C6DF1" w:rsidP="00203A44">
      <w:pPr>
        <w:widowControl w:val="0"/>
        <w:autoSpaceDE w:val="0"/>
        <w:autoSpaceDN w:val="0"/>
        <w:adjustRightInd w:val="0"/>
        <w:spacing w:after="240"/>
        <w:rPr>
          <w:rFonts w:ascii="Arial" w:hAnsi="Arial" w:cs="Arial"/>
          <w:sz w:val="22"/>
          <w:szCs w:val="22"/>
        </w:rPr>
      </w:pPr>
      <w:hyperlink r:id="rId9" w:history="1">
        <w:r w:rsidR="00203A44" w:rsidRPr="00D15CB5">
          <w:rPr>
            <w:rFonts w:ascii="Arial" w:hAnsi="Arial" w:cs="Arial"/>
            <w:color w:val="0000EE"/>
            <w:sz w:val="22"/>
            <w:szCs w:val="22"/>
            <w:u w:val="single" w:color="0000EE"/>
          </w:rPr>
          <w:t>https://catalog.ufl.edu/ugrad/current/regulations/info/grades.aspx</w:t>
        </w:r>
      </w:hyperlink>
    </w:p>
    <w:p w14:paraId="2CC585A4" w14:textId="1B31F29D" w:rsidR="007257EE" w:rsidRPr="00D15CB5" w:rsidRDefault="00203A44" w:rsidP="007257EE">
      <w:pPr>
        <w:widowControl w:val="0"/>
        <w:autoSpaceDE w:val="0"/>
        <w:autoSpaceDN w:val="0"/>
        <w:adjustRightInd w:val="0"/>
        <w:spacing w:after="240"/>
        <w:rPr>
          <w:rFonts w:ascii="Arial" w:hAnsi="Arial" w:cs="Arial"/>
          <w:sz w:val="22"/>
          <w:szCs w:val="22"/>
        </w:rPr>
      </w:pPr>
      <w:r w:rsidRPr="00D15CB5">
        <w:rPr>
          <w:rFonts w:ascii="Arial" w:hAnsi="Arial" w:cs="Arial"/>
          <w:sz w:val="22"/>
          <w:szCs w:val="22"/>
        </w:rPr>
        <w:t xml:space="preserve">Writing assignments will require independent thought and proper citation of sources. </w:t>
      </w:r>
      <w:r w:rsidR="007257EE" w:rsidRPr="00D15CB5">
        <w:rPr>
          <w:rFonts w:ascii="Arial" w:hAnsi="Arial" w:cs="Arial"/>
          <w:sz w:val="22"/>
          <w:szCs w:val="22"/>
        </w:rPr>
        <w:t>This is a link to a video on citing sources and avoiding plagiarism (Dr. Martin Simpson, UF)</w:t>
      </w:r>
    </w:p>
    <w:p w14:paraId="30A4A997" w14:textId="77777777" w:rsidR="007257EE" w:rsidRPr="00D15CB5" w:rsidRDefault="007257EE" w:rsidP="007257EE">
      <w:pPr>
        <w:widowControl w:val="0"/>
        <w:autoSpaceDE w:val="0"/>
        <w:autoSpaceDN w:val="0"/>
        <w:adjustRightInd w:val="0"/>
        <w:spacing w:after="240"/>
        <w:rPr>
          <w:rFonts w:ascii="Arial" w:hAnsi="Arial" w:cs="Arial"/>
          <w:color w:val="0000FF"/>
          <w:sz w:val="22"/>
          <w:szCs w:val="22"/>
        </w:rPr>
      </w:pPr>
      <w:r w:rsidRPr="00D15CB5">
        <w:rPr>
          <w:rFonts w:ascii="Arial" w:hAnsi="Arial" w:cs="Arial"/>
          <w:color w:val="0000FF"/>
          <w:sz w:val="22"/>
          <w:szCs w:val="22"/>
        </w:rPr>
        <w:t>http://mediasite.video.ufl.edu/mediasite/Viewer/?peid=adaa44500eaf460a84f238e6b9a558f91d</w:t>
      </w:r>
      <w:r w:rsidRPr="00D15CB5">
        <w:rPr>
          <w:rFonts w:ascii="MS Gothic" w:eastAsia="MS Gothic" w:hAnsi="MS Gothic" w:cs="MS Gothic" w:hint="eastAsia"/>
          <w:color w:val="0000FF"/>
          <w:sz w:val="22"/>
          <w:szCs w:val="22"/>
        </w:rPr>
        <w:t> </w:t>
      </w:r>
      <w:r w:rsidRPr="00D15CB5">
        <w:rPr>
          <w:rFonts w:ascii="Arial" w:hAnsi="Arial" w:cs="Arial"/>
          <w:sz w:val="22"/>
          <w:szCs w:val="22"/>
        </w:rPr>
        <w:t xml:space="preserve">This is a link to a website on avoiding plagiarism </w:t>
      </w:r>
      <w:r w:rsidRPr="00D15CB5">
        <w:rPr>
          <w:rFonts w:ascii="Arial" w:hAnsi="Arial" w:cs="Arial"/>
          <w:color w:val="0000FF"/>
          <w:sz w:val="22"/>
          <w:szCs w:val="22"/>
        </w:rPr>
        <w:t xml:space="preserve">http://web.uflib.ufl.edu/msl/subjects/Physics/StudentPlagiarism.html </w:t>
      </w:r>
      <w:r w:rsidRPr="00D15CB5">
        <w:rPr>
          <w:rFonts w:ascii="Arial" w:hAnsi="Arial" w:cs="Arial"/>
          <w:sz w:val="22"/>
          <w:szCs w:val="22"/>
        </w:rPr>
        <w:t>This is a link to APA formatting</w:t>
      </w:r>
      <w:r w:rsidRPr="00D15CB5">
        <w:rPr>
          <w:rFonts w:ascii="MS Gothic" w:eastAsia="MS Gothic" w:hAnsi="MS Gothic" w:cs="MS Gothic" w:hint="eastAsia"/>
          <w:sz w:val="22"/>
          <w:szCs w:val="22"/>
        </w:rPr>
        <w:t> </w:t>
      </w:r>
      <w:r w:rsidRPr="00D15CB5">
        <w:rPr>
          <w:rFonts w:ascii="Arial" w:hAnsi="Arial" w:cs="Arial"/>
          <w:color w:val="0000FF"/>
          <w:sz w:val="22"/>
          <w:szCs w:val="22"/>
        </w:rPr>
        <w:t>http://owl.english.purdue.edu/owl/resource/560/01/</w:t>
      </w:r>
    </w:p>
    <w:p w14:paraId="5D7AF12C" w14:textId="77777777" w:rsidR="00192C1D" w:rsidRDefault="00192C1D" w:rsidP="007257EE">
      <w:pPr>
        <w:widowControl w:val="0"/>
        <w:autoSpaceDE w:val="0"/>
        <w:autoSpaceDN w:val="0"/>
        <w:adjustRightInd w:val="0"/>
        <w:spacing w:after="240"/>
        <w:rPr>
          <w:rFonts w:ascii="Arial" w:hAnsi="Arial" w:cs="Arial"/>
          <w:b/>
          <w:bCs/>
          <w:sz w:val="22"/>
          <w:szCs w:val="22"/>
        </w:rPr>
      </w:pPr>
      <w:r>
        <w:rPr>
          <w:rFonts w:ascii="Arial" w:hAnsi="Arial" w:cs="Arial"/>
          <w:b/>
          <w:bCs/>
          <w:sz w:val="22"/>
          <w:szCs w:val="22"/>
        </w:rPr>
        <w:t>Online course evaluations</w:t>
      </w:r>
    </w:p>
    <w:p w14:paraId="4E2BA2AB" w14:textId="2A686DF8" w:rsidR="00192C1D" w:rsidRDefault="00192C1D" w:rsidP="007257EE">
      <w:pPr>
        <w:widowControl w:val="0"/>
        <w:autoSpaceDE w:val="0"/>
        <w:autoSpaceDN w:val="0"/>
        <w:adjustRightInd w:val="0"/>
        <w:spacing w:after="240"/>
        <w:rPr>
          <w:rFonts w:ascii="Arial" w:hAnsi="Arial" w:cs="Arial"/>
          <w:b/>
          <w:bCs/>
          <w:sz w:val="22"/>
          <w:szCs w:val="22"/>
        </w:rPr>
      </w:pPr>
      <w:r>
        <w:rPr>
          <w:rFonts w:ascii="Arial" w:hAnsi="Arial" w:cs="Arial"/>
          <w:sz w:val="22"/>
          <w:szCs w:val="22"/>
        </w:rPr>
        <w:t xml:space="preserve">Students are expected to provide feedback on the quality of instruction in this course based on 10 criteria. These evaluations are conducted online at </w:t>
      </w:r>
      <w:hyperlink r:id="rId10" w:history="1">
        <w:r w:rsidRPr="008D33B1">
          <w:rPr>
            <w:rStyle w:val="Hyperlink"/>
            <w:rFonts w:ascii="Arial" w:hAnsi="Arial" w:cs="Arial"/>
            <w:sz w:val="22"/>
            <w:szCs w:val="22"/>
          </w:rPr>
          <w:t>https://evaluations.ufl.edu</w:t>
        </w:r>
      </w:hyperlink>
      <w:r>
        <w:rPr>
          <w:rFonts w:ascii="Arial" w:hAnsi="Arial" w:cs="Arial"/>
          <w:sz w:val="22"/>
          <w:szCs w:val="22"/>
        </w:rPr>
        <w:t xml:space="preserve">. Evaluations are typically open during the last two or three weeks of the semester, but students will be given specific times when they are open. Summary results of these assessments are available to students at </w:t>
      </w:r>
      <w:hyperlink r:id="rId11" w:history="1">
        <w:r w:rsidRPr="008D33B1">
          <w:rPr>
            <w:rStyle w:val="Hyperlink"/>
            <w:rFonts w:ascii="Arial" w:hAnsi="Arial" w:cs="Arial"/>
            <w:sz w:val="22"/>
            <w:szCs w:val="22"/>
          </w:rPr>
          <w:t>https://evalautions.ufl.edu</w:t>
        </w:r>
      </w:hyperlink>
      <w:r>
        <w:rPr>
          <w:rFonts w:ascii="Arial" w:hAnsi="Arial" w:cs="Arial"/>
          <w:sz w:val="22"/>
          <w:szCs w:val="22"/>
        </w:rPr>
        <w:t xml:space="preserve">. </w:t>
      </w:r>
    </w:p>
    <w:p w14:paraId="77A6F078" w14:textId="50830A36" w:rsidR="007257EE" w:rsidRPr="00D15CB5"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b/>
          <w:bCs/>
          <w:sz w:val="22"/>
          <w:szCs w:val="22"/>
        </w:rPr>
        <w:t>UF Counseling Services</w:t>
      </w:r>
    </w:p>
    <w:p w14:paraId="5A642A12" w14:textId="77777777" w:rsidR="007257EE" w:rsidRPr="00D15CB5"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sz w:val="22"/>
          <w:szCs w:val="22"/>
        </w:rPr>
        <w:t>Resources are available on-campus for students having personal problems or lacking clear career and academic goals. The resources include:</w:t>
      </w:r>
      <w:r w:rsidRPr="00D15CB5">
        <w:rPr>
          <w:rFonts w:ascii="MS Gothic" w:eastAsia="MS Gothic" w:hAnsi="MS Gothic" w:cs="MS Gothic" w:hint="eastAsia"/>
          <w:sz w:val="22"/>
          <w:szCs w:val="22"/>
        </w:rPr>
        <w:t> </w:t>
      </w:r>
      <w:r w:rsidRPr="00D15CB5">
        <w:rPr>
          <w:rFonts w:ascii="Arial" w:hAnsi="Arial" w:cs="Arial"/>
          <w:sz w:val="22"/>
          <w:szCs w:val="22"/>
        </w:rPr>
        <w:t>UF Counseling &amp; Wellness Center, 3190 Radio Rd, 392-1575, psychological and psychiatric services.</w:t>
      </w:r>
      <w:r w:rsidRPr="00D15CB5">
        <w:rPr>
          <w:rFonts w:ascii="MS Gothic" w:eastAsia="MS Gothic" w:hAnsi="MS Gothic" w:cs="MS Gothic" w:hint="eastAsia"/>
          <w:sz w:val="22"/>
          <w:szCs w:val="22"/>
        </w:rPr>
        <w:t> </w:t>
      </w:r>
      <w:r w:rsidRPr="00D15CB5">
        <w:rPr>
          <w:rFonts w:ascii="Arial" w:hAnsi="Arial" w:cs="Arial"/>
          <w:sz w:val="22"/>
          <w:szCs w:val="22"/>
        </w:rPr>
        <w:t>Career Resource Center, Reitz Union, 392-1601, career and job search services.</w:t>
      </w:r>
    </w:p>
    <w:p w14:paraId="4FAEE5C1" w14:textId="77777777" w:rsidR="007257EE" w:rsidRPr="00D15CB5"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sz w:val="22"/>
          <w:szCs w:val="22"/>
        </w:rPr>
        <w:t xml:space="preserve">Many students experience test anxiety and other stress related problems. “A Self Help Guide for Students” is available through the Counseling Center (301 Peabody Hall, 392-1575) and at their web site: </w:t>
      </w:r>
      <w:r w:rsidRPr="00D15CB5">
        <w:rPr>
          <w:rFonts w:ascii="Arial" w:hAnsi="Arial" w:cs="Arial"/>
          <w:color w:val="0000FF"/>
          <w:sz w:val="22"/>
          <w:szCs w:val="22"/>
        </w:rPr>
        <w:t>http://www.counsel.ufl.edu/</w:t>
      </w:r>
    </w:p>
    <w:p w14:paraId="03B10891" w14:textId="77777777" w:rsidR="007257EE" w:rsidRPr="00D15CB5"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b/>
          <w:bCs/>
          <w:sz w:val="22"/>
          <w:szCs w:val="22"/>
        </w:rPr>
        <w:t>Honesty Policy</w:t>
      </w:r>
    </w:p>
    <w:p w14:paraId="39A241EC" w14:textId="77777777" w:rsidR="007257EE" w:rsidRPr="00D15CB5"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sz w:val="22"/>
          <w:szCs w:val="22"/>
        </w:rPr>
        <w:t xml:space="preserve">All students registered at the University of Florida have agreed to comply with the following statement: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In addition, on all work submitted for credit the following pledge is either required or implied: “On my honor I have neither given nor received unauthorized aid in doing this assignment.” If you witness any instances of academic dishonesty in this class, please notify the instructor or contact the Student Honor Court (392-1631) or Cheating Hotline (392-6999). For additional information on Academic Honesty, please refer to the University of Florida Academic Honesty Guidelines at: </w:t>
      </w:r>
      <w:r w:rsidRPr="00D15CB5">
        <w:rPr>
          <w:rFonts w:ascii="Arial" w:hAnsi="Arial" w:cs="Arial"/>
          <w:color w:val="0000FF"/>
          <w:sz w:val="22"/>
          <w:szCs w:val="22"/>
        </w:rPr>
        <w:t>http://www.dso.ufl.edu/sccr/honorcodes/conductcode.php</w:t>
      </w:r>
    </w:p>
    <w:p w14:paraId="20C7CAC3" w14:textId="77777777" w:rsidR="007257EE" w:rsidRPr="00D15CB5" w:rsidRDefault="007257EE" w:rsidP="007257EE">
      <w:pPr>
        <w:widowControl w:val="0"/>
        <w:autoSpaceDE w:val="0"/>
        <w:autoSpaceDN w:val="0"/>
        <w:adjustRightInd w:val="0"/>
        <w:rPr>
          <w:rFonts w:ascii="Arial" w:hAnsi="Arial" w:cs="Arial"/>
          <w:sz w:val="22"/>
          <w:szCs w:val="22"/>
        </w:rPr>
      </w:pPr>
      <w:r w:rsidRPr="00D15CB5">
        <w:rPr>
          <w:rFonts w:ascii="Arial" w:hAnsi="Arial" w:cs="Arial"/>
          <w:sz w:val="22"/>
          <w:szCs w:val="22"/>
        </w:rPr>
        <w:t xml:space="preserve">     </w:t>
      </w:r>
    </w:p>
    <w:p w14:paraId="2BBA4E04" w14:textId="77777777" w:rsidR="007257EE" w:rsidRPr="00D15CB5"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b/>
          <w:bCs/>
          <w:sz w:val="22"/>
          <w:szCs w:val="22"/>
        </w:rPr>
        <w:t>Accommodation for Students with Disabilities</w:t>
      </w:r>
    </w:p>
    <w:p w14:paraId="254FCB9E" w14:textId="77777777" w:rsidR="007257EE" w:rsidRPr="00D15CB5"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sz w:val="22"/>
          <w:szCs w:val="22"/>
        </w:rPr>
        <w:t xml:space="preserve">Students who will require a classroom accommodation for a disability must contact the Dean of Students Office of Disability Resources, in Peabody 202 (phone: 352-392-1261). Please see the University of Florida Disability Resources website for more information at: </w:t>
      </w:r>
      <w:r w:rsidRPr="00D15CB5">
        <w:rPr>
          <w:rFonts w:ascii="Arial" w:hAnsi="Arial" w:cs="Arial"/>
          <w:color w:val="0000FF"/>
          <w:sz w:val="22"/>
          <w:szCs w:val="22"/>
        </w:rPr>
        <w:t>http://www.dso.ufl.edu/drc/</w:t>
      </w:r>
      <w:r w:rsidRPr="00D15CB5">
        <w:rPr>
          <w:rFonts w:ascii="Arial" w:hAnsi="Arial" w:cs="Arial"/>
          <w:sz w:val="22"/>
          <w:szCs w:val="22"/>
        </w:rPr>
        <w:t>. It is the policy of the University of Florida that the student, not the instructor, is responsible for arranging accommodations when needed. Once notification is complete, the Dean of Students Office of Disability Resources will work with the instructor to accommodate the student.</w:t>
      </w:r>
    </w:p>
    <w:p w14:paraId="01432FEA" w14:textId="77777777" w:rsidR="007257EE" w:rsidRPr="00D15CB5"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sz w:val="22"/>
          <w:szCs w:val="22"/>
        </w:rPr>
        <w:t>If comfortable, please also contact the instructor directly after registering for this course so we can ensure accommodations are met in a timely manner.</w:t>
      </w:r>
    </w:p>
    <w:p w14:paraId="0991CA60" w14:textId="77777777" w:rsidR="007257EE" w:rsidRPr="00D15CB5" w:rsidRDefault="007257EE" w:rsidP="007257EE">
      <w:pPr>
        <w:widowControl w:val="0"/>
        <w:autoSpaceDE w:val="0"/>
        <w:autoSpaceDN w:val="0"/>
        <w:adjustRightInd w:val="0"/>
        <w:spacing w:after="240"/>
        <w:rPr>
          <w:rFonts w:ascii="Arial" w:hAnsi="Arial" w:cs="Arial"/>
          <w:sz w:val="22"/>
          <w:szCs w:val="22"/>
        </w:rPr>
      </w:pPr>
      <w:r w:rsidRPr="00D15CB5">
        <w:rPr>
          <w:rFonts w:ascii="Arial" w:hAnsi="Arial" w:cs="Arial"/>
          <w:b/>
          <w:bCs/>
          <w:sz w:val="22"/>
          <w:szCs w:val="22"/>
        </w:rPr>
        <w:t>Software Use</w:t>
      </w:r>
    </w:p>
    <w:p w14:paraId="2221B9A7" w14:textId="4B235DFA" w:rsidR="001B2F07" w:rsidRDefault="007257EE" w:rsidP="007C6FD7">
      <w:pPr>
        <w:widowControl w:val="0"/>
        <w:autoSpaceDE w:val="0"/>
        <w:autoSpaceDN w:val="0"/>
        <w:adjustRightInd w:val="0"/>
        <w:spacing w:after="240"/>
        <w:rPr>
          <w:rFonts w:ascii="Arial" w:hAnsi="Arial" w:cs="Arial"/>
          <w:sz w:val="22"/>
          <w:szCs w:val="22"/>
        </w:rPr>
      </w:pPr>
      <w:r w:rsidRPr="00D15CB5">
        <w:rPr>
          <w:rFonts w:ascii="Arial" w:hAnsi="Arial" w:cs="Arial"/>
          <w:sz w:val="22"/>
          <w:szCs w:val="22"/>
        </w:rPr>
        <w:t>All faculty, staff and student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70568B3D" w14:textId="0341D5D8" w:rsidR="006522D0" w:rsidRDefault="006522D0" w:rsidP="006522D0">
      <w:pPr>
        <w:widowControl w:val="0"/>
        <w:autoSpaceDE w:val="0"/>
        <w:autoSpaceDN w:val="0"/>
        <w:adjustRightInd w:val="0"/>
        <w:spacing w:after="240"/>
        <w:rPr>
          <w:rFonts w:ascii="Arial" w:hAnsi="Arial" w:cs="Arial"/>
          <w:b/>
          <w:bCs/>
          <w:sz w:val="22"/>
          <w:szCs w:val="22"/>
        </w:rPr>
      </w:pPr>
      <w:r>
        <w:rPr>
          <w:rFonts w:ascii="Arial" w:hAnsi="Arial" w:cs="Arial"/>
          <w:b/>
          <w:bCs/>
          <w:sz w:val="22"/>
          <w:szCs w:val="22"/>
        </w:rPr>
        <w:t>Class demeanor</w:t>
      </w:r>
    </w:p>
    <w:p w14:paraId="0FB575DF" w14:textId="181FAAF0" w:rsidR="006522D0" w:rsidRPr="006522D0" w:rsidRDefault="006522D0" w:rsidP="006522D0">
      <w:pPr>
        <w:widowControl w:val="0"/>
        <w:autoSpaceDE w:val="0"/>
        <w:autoSpaceDN w:val="0"/>
        <w:adjustRightInd w:val="0"/>
        <w:spacing w:after="240"/>
        <w:rPr>
          <w:rFonts w:ascii="Arial" w:hAnsi="Arial" w:cs="Arial"/>
          <w:sz w:val="22"/>
          <w:szCs w:val="22"/>
        </w:rPr>
      </w:pPr>
      <w:r>
        <w:rPr>
          <w:rFonts w:ascii="Arial" w:hAnsi="Arial" w:cs="Arial"/>
          <w:bCs/>
          <w:sz w:val="22"/>
          <w:szCs w:val="22"/>
        </w:rPr>
        <w:t xml:space="preserve">This is an advanced course and the environment will be one of open communication and scholarly discussion. It is expected that participants exercise professionalism and judgment when using electronic devices. Participants should arrive on time and be prepared to begin at the scheduled hour. Tardiness will be reflected in the attendance category of grading. Every effort should be made to notify the instructor of planned absences, tardiness or early exit from </w:t>
      </w:r>
      <w:r w:rsidR="00BB2F27">
        <w:rPr>
          <w:rFonts w:ascii="Arial" w:hAnsi="Arial" w:cs="Arial"/>
          <w:bCs/>
          <w:sz w:val="22"/>
          <w:szCs w:val="22"/>
        </w:rPr>
        <w:t>course meetings.</w:t>
      </w:r>
    </w:p>
    <w:p w14:paraId="549EEF7E" w14:textId="77777777" w:rsidR="006522D0" w:rsidRPr="00D15CB5" w:rsidRDefault="006522D0" w:rsidP="007C6FD7">
      <w:pPr>
        <w:widowControl w:val="0"/>
        <w:autoSpaceDE w:val="0"/>
        <w:autoSpaceDN w:val="0"/>
        <w:adjustRightInd w:val="0"/>
        <w:spacing w:after="240"/>
        <w:rPr>
          <w:rFonts w:ascii="Arial" w:hAnsi="Arial" w:cs="Arial"/>
          <w:sz w:val="22"/>
          <w:szCs w:val="22"/>
        </w:rPr>
      </w:pPr>
    </w:p>
    <w:sectPr w:rsidR="006522D0" w:rsidRPr="00D15CB5" w:rsidSect="00AF603D">
      <w:footerReference w:type="default" r:id="rId12"/>
      <w:pgSz w:w="12240" w:h="15840"/>
      <w:pgMar w:top="1440" w:right="1800" w:bottom="810" w:left="180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D1012" w14:textId="77777777" w:rsidR="0035433A" w:rsidRDefault="0035433A" w:rsidP="00AF603D">
      <w:r>
        <w:separator/>
      </w:r>
    </w:p>
  </w:endnote>
  <w:endnote w:type="continuationSeparator" w:id="0">
    <w:p w14:paraId="014453F3" w14:textId="77777777" w:rsidR="0035433A" w:rsidRDefault="0035433A" w:rsidP="00AF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61139"/>
      <w:docPartObj>
        <w:docPartGallery w:val="Page Numbers (Bottom of Page)"/>
        <w:docPartUnique/>
      </w:docPartObj>
    </w:sdtPr>
    <w:sdtEndPr>
      <w:rPr>
        <w:noProof/>
      </w:rPr>
    </w:sdtEndPr>
    <w:sdtContent>
      <w:p w14:paraId="3924E908" w14:textId="5655246B" w:rsidR="0035433A" w:rsidRDefault="0035433A">
        <w:pPr>
          <w:pStyle w:val="Footer"/>
          <w:jc w:val="right"/>
        </w:pPr>
        <w:r>
          <w:fldChar w:fldCharType="begin"/>
        </w:r>
        <w:r>
          <w:instrText xml:space="preserve"> PAGE   \* MERGEFORMAT </w:instrText>
        </w:r>
        <w:r>
          <w:fldChar w:fldCharType="separate"/>
        </w:r>
        <w:r w:rsidR="004C6DF1">
          <w:rPr>
            <w:noProof/>
          </w:rPr>
          <w:t>1</w:t>
        </w:r>
        <w:r>
          <w:rPr>
            <w:noProof/>
          </w:rPr>
          <w:fldChar w:fldCharType="end"/>
        </w:r>
      </w:p>
    </w:sdtContent>
  </w:sdt>
  <w:p w14:paraId="6C5F3E7B" w14:textId="77777777" w:rsidR="0035433A" w:rsidRDefault="00354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D61A8" w14:textId="77777777" w:rsidR="0035433A" w:rsidRDefault="0035433A" w:rsidP="00AF603D">
      <w:r>
        <w:separator/>
      </w:r>
    </w:p>
  </w:footnote>
  <w:footnote w:type="continuationSeparator" w:id="0">
    <w:p w14:paraId="3736BB11" w14:textId="77777777" w:rsidR="0035433A" w:rsidRDefault="0035433A" w:rsidP="00AF6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BE63F3"/>
    <w:multiLevelType w:val="hybridMultilevel"/>
    <w:tmpl w:val="55EEDE1C"/>
    <w:lvl w:ilvl="0" w:tplc="96EC87D6">
      <w:start w:val="1"/>
      <w:numFmt w:val="bullet"/>
      <w:lvlText w:val=""/>
      <w:lvlJc w:val="left"/>
      <w:pPr>
        <w:ind w:left="720" w:hanging="360"/>
      </w:pPr>
      <w:rPr>
        <w:rFonts w:ascii="Symbol" w:hAnsi="Symbol" w:hint="default"/>
        <w:sz w:val="22"/>
      </w:rPr>
    </w:lvl>
    <w:lvl w:ilvl="1" w:tplc="8AAE9D5A">
      <w:start w:val="1"/>
      <w:numFmt w:val="bullet"/>
      <w:lvlText w:val="o"/>
      <w:lvlJc w:val="left"/>
      <w:pPr>
        <w:ind w:left="1440" w:hanging="360"/>
      </w:pPr>
      <w:rPr>
        <w:rFonts w:ascii="Courier New" w:hAnsi="Courier New" w:cs="Courier New" w:hint="default"/>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E2508"/>
    <w:multiLevelType w:val="hybridMultilevel"/>
    <w:tmpl w:val="80FE03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9050C6"/>
    <w:multiLevelType w:val="hybridMultilevel"/>
    <w:tmpl w:val="F26800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3C75E3"/>
    <w:multiLevelType w:val="hybridMultilevel"/>
    <w:tmpl w:val="55B09E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B80807"/>
    <w:multiLevelType w:val="hybridMultilevel"/>
    <w:tmpl w:val="FBF818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F11E69"/>
    <w:multiLevelType w:val="hybridMultilevel"/>
    <w:tmpl w:val="A5C4EC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F372A8"/>
    <w:multiLevelType w:val="hybridMultilevel"/>
    <w:tmpl w:val="B22CDE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881302"/>
    <w:multiLevelType w:val="hybridMultilevel"/>
    <w:tmpl w:val="EFCE3B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996A77"/>
    <w:multiLevelType w:val="hybridMultilevel"/>
    <w:tmpl w:val="59C2F0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86272E"/>
    <w:multiLevelType w:val="hybridMultilevel"/>
    <w:tmpl w:val="0192A7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8"/>
  </w:num>
  <w:num w:numId="6">
    <w:abstractNumId w:val="9"/>
  </w:num>
  <w:num w:numId="7">
    <w:abstractNumId w:val="7"/>
  </w:num>
  <w:num w:numId="8">
    <w:abstractNumId w:val="3"/>
  </w:num>
  <w:num w:numId="9">
    <w:abstractNumId w:val="5"/>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EE"/>
    <w:rsid w:val="000104BB"/>
    <w:rsid w:val="00016FE1"/>
    <w:rsid w:val="00034B81"/>
    <w:rsid w:val="0004150E"/>
    <w:rsid w:val="000515CE"/>
    <w:rsid w:val="00056057"/>
    <w:rsid w:val="000871EB"/>
    <w:rsid w:val="000A2252"/>
    <w:rsid w:val="000A7318"/>
    <w:rsid w:val="000C418F"/>
    <w:rsid w:val="000E51C2"/>
    <w:rsid w:val="0010005A"/>
    <w:rsid w:val="00104BC2"/>
    <w:rsid w:val="0010650B"/>
    <w:rsid w:val="00123FD6"/>
    <w:rsid w:val="0013677F"/>
    <w:rsid w:val="001613C7"/>
    <w:rsid w:val="0018475B"/>
    <w:rsid w:val="00192C1D"/>
    <w:rsid w:val="001934CA"/>
    <w:rsid w:val="001B2F07"/>
    <w:rsid w:val="001D665C"/>
    <w:rsid w:val="00203A44"/>
    <w:rsid w:val="00224223"/>
    <w:rsid w:val="002419F0"/>
    <w:rsid w:val="002577CD"/>
    <w:rsid w:val="00296CF8"/>
    <w:rsid w:val="002A4A58"/>
    <w:rsid w:val="002A4DFF"/>
    <w:rsid w:val="002D4C42"/>
    <w:rsid w:val="002F7593"/>
    <w:rsid w:val="00343EE5"/>
    <w:rsid w:val="0035433A"/>
    <w:rsid w:val="0035474C"/>
    <w:rsid w:val="00375025"/>
    <w:rsid w:val="003E0398"/>
    <w:rsid w:val="00427E16"/>
    <w:rsid w:val="00435189"/>
    <w:rsid w:val="00473DA1"/>
    <w:rsid w:val="00490DB9"/>
    <w:rsid w:val="004969EB"/>
    <w:rsid w:val="004A3412"/>
    <w:rsid w:val="004C3C63"/>
    <w:rsid w:val="004C6DF1"/>
    <w:rsid w:val="00543D14"/>
    <w:rsid w:val="00552884"/>
    <w:rsid w:val="00556591"/>
    <w:rsid w:val="00562895"/>
    <w:rsid w:val="005746E1"/>
    <w:rsid w:val="00583629"/>
    <w:rsid w:val="005B79D6"/>
    <w:rsid w:val="005E2D28"/>
    <w:rsid w:val="005F369A"/>
    <w:rsid w:val="005F4255"/>
    <w:rsid w:val="005F5D56"/>
    <w:rsid w:val="00612ADD"/>
    <w:rsid w:val="00620E0A"/>
    <w:rsid w:val="006522D0"/>
    <w:rsid w:val="00697975"/>
    <w:rsid w:val="006A2167"/>
    <w:rsid w:val="006A53D6"/>
    <w:rsid w:val="006C11E0"/>
    <w:rsid w:val="006D13CD"/>
    <w:rsid w:val="006F3555"/>
    <w:rsid w:val="00707713"/>
    <w:rsid w:val="00710CC9"/>
    <w:rsid w:val="00710D2D"/>
    <w:rsid w:val="007257EE"/>
    <w:rsid w:val="00730FF7"/>
    <w:rsid w:val="0073182A"/>
    <w:rsid w:val="00734CD7"/>
    <w:rsid w:val="00753E6A"/>
    <w:rsid w:val="00764AE9"/>
    <w:rsid w:val="007725A9"/>
    <w:rsid w:val="007845AF"/>
    <w:rsid w:val="00790172"/>
    <w:rsid w:val="007A77A1"/>
    <w:rsid w:val="007B2D26"/>
    <w:rsid w:val="007C6FD7"/>
    <w:rsid w:val="007D4112"/>
    <w:rsid w:val="007E19F1"/>
    <w:rsid w:val="00826FBA"/>
    <w:rsid w:val="008345F1"/>
    <w:rsid w:val="00856A0C"/>
    <w:rsid w:val="00860DBA"/>
    <w:rsid w:val="00877E8C"/>
    <w:rsid w:val="008801C9"/>
    <w:rsid w:val="008C0443"/>
    <w:rsid w:val="008E3001"/>
    <w:rsid w:val="008E501F"/>
    <w:rsid w:val="00901E20"/>
    <w:rsid w:val="0097502C"/>
    <w:rsid w:val="0099422C"/>
    <w:rsid w:val="009A10E0"/>
    <w:rsid w:val="009B23DE"/>
    <w:rsid w:val="009B3914"/>
    <w:rsid w:val="009B45AF"/>
    <w:rsid w:val="009D1B78"/>
    <w:rsid w:val="009D63F7"/>
    <w:rsid w:val="009E59F9"/>
    <w:rsid w:val="009F3A78"/>
    <w:rsid w:val="009F45E0"/>
    <w:rsid w:val="00A04B86"/>
    <w:rsid w:val="00A154D7"/>
    <w:rsid w:val="00A26318"/>
    <w:rsid w:val="00A31949"/>
    <w:rsid w:val="00A6060F"/>
    <w:rsid w:val="00AB77BE"/>
    <w:rsid w:val="00AC2474"/>
    <w:rsid w:val="00AF0F44"/>
    <w:rsid w:val="00AF2344"/>
    <w:rsid w:val="00AF603D"/>
    <w:rsid w:val="00B16C05"/>
    <w:rsid w:val="00B221D1"/>
    <w:rsid w:val="00B51549"/>
    <w:rsid w:val="00B5280F"/>
    <w:rsid w:val="00B52A14"/>
    <w:rsid w:val="00B55B68"/>
    <w:rsid w:val="00B7574D"/>
    <w:rsid w:val="00BB2F27"/>
    <w:rsid w:val="00BC69F9"/>
    <w:rsid w:val="00BD76B1"/>
    <w:rsid w:val="00BE3418"/>
    <w:rsid w:val="00BF693B"/>
    <w:rsid w:val="00C06B16"/>
    <w:rsid w:val="00C3360B"/>
    <w:rsid w:val="00C35F81"/>
    <w:rsid w:val="00C46DAC"/>
    <w:rsid w:val="00C6773F"/>
    <w:rsid w:val="00C90D37"/>
    <w:rsid w:val="00CB0095"/>
    <w:rsid w:val="00CD1E14"/>
    <w:rsid w:val="00D046AB"/>
    <w:rsid w:val="00D13CD7"/>
    <w:rsid w:val="00D15CB5"/>
    <w:rsid w:val="00D216D1"/>
    <w:rsid w:val="00D62098"/>
    <w:rsid w:val="00DF13D6"/>
    <w:rsid w:val="00DF490A"/>
    <w:rsid w:val="00E509C4"/>
    <w:rsid w:val="00E629B0"/>
    <w:rsid w:val="00E7760B"/>
    <w:rsid w:val="00E9216A"/>
    <w:rsid w:val="00EB15E9"/>
    <w:rsid w:val="00EF4797"/>
    <w:rsid w:val="00F27C59"/>
    <w:rsid w:val="00F349FD"/>
    <w:rsid w:val="00F37E43"/>
    <w:rsid w:val="00F85F34"/>
    <w:rsid w:val="00F877EA"/>
    <w:rsid w:val="00F87E68"/>
    <w:rsid w:val="00F93B8A"/>
    <w:rsid w:val="00FA18F6"/>
    <w:rsid w:val="00FB35B8"/>
    <w:rsid w:val="00FB5D6F"/>
    <w:rsid w:val="00FE2797"/>
    <w:rsid w:val="00FE4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EA85A"/>
  <w15:docId w15:val="{46AB8AD4-C3C8-4DA3-9AD2-1E53277B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7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7EE"/>
    <w:rPr>
      <w:rFonts w:ascii="Lucida Grande" w:hAnsi="Lucida Grande" w:cs="Lucida Grande"/>
      <w:sz w:val="18"/>
      <w:szCs w:val="18"/>
    </w:rPr>
  </w:style>
  <w:style w:type="paragraph" w:styleId="ListParagraph">
    <w:name w:val="List Paragraph"/>
    <w:basedOn w:val="Normal"/>
    <w:uiPriority w:val="34"/>
    <w:qFormat/>
    <w:rsid w:val="00562895"/>
    <w:pPr>
      <w:ind w:left="720"/>
      <w:contextualSpacing/>
    </w:pPr>
  </w:style>
  <w:style w:type="character" w:styleId="Hyperlink">
    <w:name w:val="Hyperlink"/>
    <w:basedOn w:val="DefaultParagraphFont"/>
    <w:uiPriority w:val="99"/>
    <w:unhideWhenUsed/>
    <w:rsid w:val="00C90D37"/>
    <w:rPr>
      <w:color w:val="0000FF" w:themeColor="hyperlink"/>
      <w:u w:val="single"/>
    </w:rPr>
  </w:style>
  <w:style w:type="character" w:styleId="FollowedHyperlink">
    <w:name w:val="FollowedHyperlink"/>
    <w:basedOn w:val="DefaultParagraphFont"/>
    <w:uiPriority w:val="99"/>
    <w:semiHidden/>
    <w:unhideWhenUsed/>
    <w:rsid w:val="00AB77BE"/>
    <w:rPr>
      <w:color w:val="800080" w:themeColor="followedHyperlink"/>
      <w:u w:val="single"/>
    </w:rPr>
  </w:style>
  <w:style w:type="table" w:styleId="TableGrid">
    <w:name w:val="Table Grid"/>
    <w:basedOn w:val="TableNormal"/>
    <w:uiPriority w:val="59"/>
    <w:rsid w:val="00860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4CA"/>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AF603D"/>
    <w:pPr>
      <w:tabs>
        <w:tab w:val="center" w:pos="4680"/>
        <w:tab w:val="right" w:pos="9360"/>
      </w:tabs>
    </w:pPr>
  </w:style>
  <w:style w:type="character" w:customStyle="1" w:styleId="HeaderChar">
    <w:name w:val="Header Char"/>
    <w:basedOn w:val="DefaultParagraphFont"/>
    <w:link w:val="Header"/>
    <w:uiPriority w:val="99"/>
    <w:rsid w:val="00AF603D"/>
  </w:style>
  <w:style w:type="paragraph" w:styleId="Footer">
    <w:name w:val="footer"/>
    <w:basedOn w:val="Normal"/>
    <w:link w:val="FooterChar"/>
    <w:uiPriority w:val="99"/>
    <w:unhideWhenUsed/>
    <w:rsid w:val="00AF603D"/>
    <w:pPr>
      <w:tabs>
        <w:tab w:val="center" w:pos="4680"/>
        <w:tab w:val="right" w:pos="9360"/>
      </w:tabs>
    </w:pPr>
  </w:style>
  <w:style w:type="character" w:customStyle="1" w:styleId="FooterChar">
    <w:name w:val="Footer Char"/>
    <w:basedOn w:val="DefaultParagraphFont"/>
    <w:link w:val="Footer"/>
    <w:uiPriority w:val="99"/>
    <w:rsid w:val="00AF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272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catalog.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lautions.ufl.edu" TargetMode="External"/><Relationship Id="rId5" Type="http://schemas.openxmlformats.org/officeDocument/2006/relationships/webSettings" Target="webSettings.xml"/><Relationship Id="rId10" Type="http://schemas.openxmlformats.org/officeDocument/2006/relationships/hyperlink" Target="https://evaluations.ufl.edu" TargetMode="External"/><Relationship Id="rId4" Type="http://schemas.openxmlformats.org/officeDocument/2006/relationships/settings" Target="settings.xml"/><Relationship Id="rId9" Type="http://schemas.openxmlformats.org/officeDocument/2006/relationships/hyperlink" Target="https://catalog.ufl.edu/ugrad/current/regulations/info/grad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A8BD-E74A-44BD-9A6B-3B2AD370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2020</Words>
  <Characters>11514</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Rebisz,Marleen</dc:creator>
  <cp:lastModifiedBy>Dean,James R</cp:lastModifiedBy>
  <cp:revision>2</cp:revision>
  <cp:lastPrinted>2018-04-05T21:29:00Z</cp:lastPrinted>
  <dcterms:created xsi:type="dcterms:W3CDTF">2018-04-10T15:18:00Z</dcterms:created>
  <dcterms:modified xsi:type="dcterms:W3CDTF">2018-04-10T15:18:00Z</dcterms:modified>
</cp:coreProperties>
</file>